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12A57">
      <w:pPr>
        <w:jc w:val="center"/>
        <w:rPr>
          <w:rFonts w:hint="eastAsia" w:ascii="Times New Roman" w:hAnsi="Times New Roman" w:eastAsia="华文中宋"/>
          <w:b/>
          <w:color w:val="000000" w:themeColor="text1"/>
          <w:sz w:val="52"/>
          <w:szCs w:val="52"/>
          <w:highlight w:val="none"/>
          <w:lang w:eastAsia="zh-CN"/>
          <w14:textFill>
            <w14:solidFill>
              <w14:schemeClr w14:val="tx1"/>
            </w14:solidFill>
          </w14:textFill>
        </w:rPr>
      </w:pPr>
      <w:bookmarkStart w:id="0" w:name="_Toc36021957"/>
      <w:bookmarkStart w:id="1" w:name="_Toc23648"/>
      <w:bookmarkStart w:id="2" w:name="_Toc31579"/>
      <w:bookmarkStart w:id="3" w:name="_Toc26011"/>
      <w:bookmarkStart w:id="4" w:name="_Toc1017"/>
      <w:bookmarkStart w:id="5" w:name="_Toc13395"/>
      <w:r>
        <w:rPr>
          <w:rFonts w:hint="eastAsia" w:ascii="仿宋" w:hAnsi="仿宋" w:eastAsia="仿宋" w:cs="仿宋"/>
          <w:b/>
          <w:color w:val="000000" w:themeColor="text1"/>
          <w:kern w:val="0"/>
          <w:sz w:val="24"/>
          <w:highlight w:val="none"/>
          <w:lang w:val="en-US" w:eastAsia="zh-CN"/>
          <w14:textFill>
            <w14:solidFill>
              <w14:schemeClr w14:val="tx1"/>
            </w14:solidFill>
          </w14:textFill>
        </w:rPr>
        <w:t xml:space="preserve"> </w:t>
      </w:r>
    </w:p>
    <w:p w14:paraId="2D42AC02">
      <w:pPr>
        <w:jc w:val="center"/>
        <w:rPr>
          <w:rFonts w:ascii="Times New Roman" w:hAnsi="Times New Roman" w:eastAsia="华文中宋"/>
          <w:b/>
          <w:color w:val="000000" w:themeColor="text1"/>
          <w:sz w:val="52"/>
          <w:szCs w:val="52"/>
          <w:highlight w:val="none"/>
          <w14:textFill>
            <w14:solidFill>
              <w14:schemeClr w14:val="tx1"/>
            </w14:solidFill>
          </w14:textFill>
        </w:rPr>
      </w:pPr>
    </w:p>
    <w:p w14:paraId="76194789">
      <w:pPr>
        <w:jc w:val="center"/>
        <w:rPr>
          <w:rFonts w:ascii="Times New Roman" w:hAnsi="Times New Roman" w:eastAsia="华文中宋"/>
          <w:b/>
          <w:color w:val="000000" w:themeColor="text1"/>
          <w:sz w:val="52"/>
          <w:szCs w:val="52"/>
          <w:highlight w:val="none"/>
          <w14:textFill>
            <w14:solidFill>
              <w14:schemeClr w14:val="tx1"/>
            </w14:solidFill>
          </w14:textFill>
        </w:rPr>
      </w:pPr>
    </w:p>
    <w:p w14:paraId="167DCC32">
      <w:pPr>
        <w:jc w:val="center"/>
        <w:rPr>
          <w:rFonts w:ascii="Times New Roman" w:hAnsi="Times New Roman" w:eastAsia="华文中宋"/>
          <w:b/>
          <w:color w:val="000000" w:themeColor="text1"/>
          <w:sz w:val="52"/>
          <w:szCs w:val="52"/>
          <w:highlight w:val="none"/>
          <w14:textFill>
            <w14:solidFill>
              <w14:schemeClr w14:val="tx1"/>
            </w14:solidFill>
          </w14:textFill>
        </w:rPr>
      </w:pPr>
    </w:p>
    <w:p w14:paraId="70AD8DE9">
      <w:pPr>
        <w:jc w:val="center"/>
        <w:rPr>
          <w:rFonts w:hint="eastAsia" w:ascii="Times New Roman" w:hAnsi="Times New Roman" w:eastAsia="华文中宋"/>
          <w:b/>
          <w:color w:val="000000" w:themeColor="text1"/>
          <w:sz w:val="52"/>
          <w:szCs w:val="52"/>
          <w:highlight w:val="none"/>
          <w:lang w:eastAsia="zh-CN"/>
          <w14:textFill>
            <w14:solidFill>
              <w14:schemeClr w14:val="tx1"/>
            </w14:solidFill>
          </w14:textFill>
        </w:rPr>
      </w:pPr>
      <w:r>
        <w:rPr>
          <w:rFonts w:ascii="Times New Roman" w:hAnsi="Times New Roman" w:eastAsia="华文中宋"/>
          <w:b/>
          <w:color w:val="000000" w:themeColor="text1"/>
          <w:sz w:val="72"/>
          <w:szCs w:val="52"/>
          <w:highlight w:val="none"/>
          <w14:textFill>
            <w14:solidFill>
              <w14:schemeClr w14:val="tx1"/>
            </w14:solidFill>
          </w14:textFill>
        </w:rPr>
        <w:t>建设工程施工合同</w:t>
      </w:r>
      <w:r>
        <w:rPr>
          <w:rFonts w:ascii="Times New Roman" w:hAnsi="Times New Roman" w:eastAsia="华文中宋"/>
          <w:b/>
          <w:color w:val="000000" w:themeColor="text1"/>
          <w:sz w:val="52"/>
          <w:szCs w:val="52"/>
          <w:highlight w:val="none"/>
          <w14:textFill>
            <w14:solidFill>
              <w14:schemeClr w14:val="tx1"/>
            </w14:solidFill>
          </w14:textFill>
        </w:rPr>
        <w:br w:type="textWrapping"/>
      </w:r>
      <w:r>
        <w:rPr>
          <w:rFonts w:hint="eastAsia" w:eastAsia="华文中宋"/>
          <w:b/>
          <w:color w:val="000000" w:themeColor="text1"/>
          <w:sz w:val="52"/>
          <w:szCs w:val="52"/>
          <w:highlight w:val="none"/>
          <w:lang w:val="en-US" w:eastAsia="zh-CN"/>
          <w14:textFill>
            <w14:solidFill>
              <w14:schemeClr w14:val="tx1"/>
            </w14:solidFill>
          </w14:textFill>
        </w:rPr>
        <w:t xml:space="preserve"> </w:t>
      </w:r>
    </w:p>
    <w:p w14:paraId="3725DC9B">
      <w:pPr>
        <w:jc w:val="center"/>
        <w:rPr>
          <w:rFonts w:ascii="Times New Roman" w:hAnsi="Times New Roman" w:eastAsia="华文中宋"/>
          <w:b/>
          <w:color w:val="000000" w:themeColor="text1"/>
          <w:sz w:val="52"/>
          <w:szCs w:val="52"/>
          <w:highlight w:val="none"/>
          <w14:textFill>
            <w14:solidFill>
              <w14:schemeClr w14:val="tx1"/>
            </w14:solidFill>
          </w14:textFill>
        </w:rPr>
      </w:pPr>
    </w:p>
    <w:p w14:paraId="7EA946A2">
      <w:pPr>
        <w:jc w:val="center"/>
        <w:rPr>
          <w:rFonts w:ascii="Times New Roman" w:hAnsi="Times New Roman" w:eastAsia="黑体"/>
          <w:b/>
          <w:color w:val="000000" w:themeColor="text1"/>
          <w:sz w:val="72"/>
          <w:szCs w:val="72"/>
          <w:highlight w:val="none"/>
          <w14:textFill>
            <w14:solidFill>
              <w14:schemeClr w14:val="tx1"/>
            </w14:solidFill>
          </w14:textFill>
        </w:rPr>
      </w:pPr>
    </w:p>
    <w:p w14:paraId="55E8B964">
      <w:pPr>
        <w:jc w:val="center"/>
        <w:rPr>
          <w:rFonts w:ascii="Times New Roman" w:hAnsi="Times New Roman" w:eastAsia="楷体_GB2312"/>
          <w:b/>
          <w:color w:val="000000" w:themeColor="text1"/>
          <w:sz w:val="72"/>
          <w:szCs w:val="72"/>
          <w:highlight w:val="none"/>
          <w14:textFill>
            <w14:solidFill>
              <w14:schemeClr w14:val="tx1"/>
            </w14:solidFill>
          </w14:textFill>
        </w:rPr>
      </w:pPr>
    </w:p>
    <w:p w14:paraId="6931E672">
      <w:pPr>
        <w:jc w:val="center"/>
        <w:rPr>
          <w:rFonts w:ascii="Times New Roman" w:hAnsi="Times New Roman" w:eastAsia="黑体"/>
          <w:b/>
          <w:color w:val="000000" w:themeColor="text1"/>
          <w:sz w:val="52"/>
          <w:szCs w:val="52"/>
          <w:highlight w:val="none"/>
          <w14:textFill>
            <w14:solidFill>
              <w14:schemeClr w14:val="tx1"/>
            </w14:solidFill>
          </w14:textFill>
        </w:rPr>
      </w:pPr>
    </w:p>
    <w:p w14:paraId="6C221E1E">
      <w:pPr>
        <w:rPr>
          <w:rFonts w:ascii="Times New Roman" w:hAnsi="Times New Roman"/>
          <w:b/>
          <w:color w:val="000000" w:themeColor="text1"/>
          <w:sz w:val="28"/>
          <w:szCs w:val="28"/>
          <w:highlight w:val="none"/>
          <w14:textFill>
            <w14:solidFill>
              <w14:schemeClr w14:val="tx1"/>
            </w14:solidFill>
          </w14:textFill>
        </w:rPr>
      </w:pPr>
    </w:p>
    <w:p w14:paraId="22F3851D">
      <w:pPr>
        <w:rPr>
          <w:rFonts w:ascii="Times New Roman" w:hAnsi="Times New Roman"/>
          <w:b/>
          <w:color w:val="000000" w:themeColor="text1"/>
          <w:sz w:val="28"/>
          <w:szCs w:val="28"/>
          <w:highlight w:val="none"/>
          <w14:textFill>
            <w14:solidFill>
              <w14:schemeClr w14:val="tx1"/>
            </w14:solidFill>
          </w14:textFill>
        </w:rPr>
      </w:pPr>
    </w:p>
    <w:p w14:paraId="0863C4C3">
      <w:pPr>
        <w:rPr>
          <w:rFonts w:ascii="Times New Roman" w:hAnsi="Times New Roman"/>
          <w:b/>
          <w:color w:val="000000" w:themeColor="text1"/>
          <w:sz w:val="28"/>
          <w:szCs w:val="28"/>
          <w:highlight w:val="none"/>
          <w14:textFill>
            <w14:solidFill>
              <w14:schemeClr w14:val="tx1"/>
            </w14:solidFill>
          </w14:textFill>
        </w:rPr>
      </w:pPr>
    </w:p>
    <w:p w14:paraId="551E1BE7">
      <w:pPr>
        <w:rPr>
          <w:rFonts w:ascii="Times New Roman" w:hAnsi="Times New Roman"/>
          <w:b/>
          <w:color w:val="000000" w:themeColor="text1"/>
          <w:sz w:val="28"/>
          <w:szCs w:val="28"/>
          <w:highlight w:val="none"/>
          <w14:textFill>
            <w14:solidFill>
              <w14:schemeClr w14:val="tx1"/>
            </w14:solidFill>
          </w14:textFill>
        </w:rPr>
      </w:pPr>
    </w:p>
    <w:p w14:paraId="4AA7BE37">
      <w:pPr>
        <w:ind w:right="2719" w:rightChars="1295"/>
        <w:jc w:val="center"/>
        <w:rPr>
          <w:rFonts w:ascii="Times New Roman" w:hAnsi="Times New Roman"/>
          <w:b/>
          <w:color w:val="000000" w:themeColor="text1"/>
          <w:sz w:val="32"/>
          <w:szCs w:val="28"/>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CE06677">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3CE06677">
                      <w:pPr>
                        <w:rPr>
                          <w:rFonts w:hint="eastAsia"/>
                          <w:b/>
                          <w:bCs/>
                          <w:sz w:val="32"/>
                        </w:rPr>
                      </w:pPr>
                      <w:r>
                        <w:rPr>
                          <w:rFonts w:hint="eastAsia"/>
                          <w:b/>
                          <w:bCs/>
                          <w:sz w:val="32"/>
                        </w:rPr>
                        <w:t>制定</w:t>
                      </w:r>
                    </w:p>
                  </w:txbxContent>
                </v:textbox>
              </v:shape>
            </w:pict>
          </mc:Fallback>
        </mc:AlternateContent>
      </w:r>
      <w:r>
        <w:rPr>
          <w:rFonts w:hint="eastAsia" w:ascii="Times New Roman" w:hAnsi="Times New Roman"/>
          <w:b/>
          <w:color w:val="000000" w:themeColor="text1"/>
          <w:sz w:val="32"/>
          <w:szCs w:val="28"/>
          <w:highlight w:val="none"/>
          <w:lang w:val="en-US" w:eastAsia="zh-CN"/>
          <w14:textFill>
            <w14:solidFill>
              <w14:schemeClr w14:val="tx1"/>
            </w14:solidFill>
          </w14:textFill>
        </w:rPr>
        <w:t xml:space="preserve">               </w:t>
      </w:r>
      <w:r>
        <w:rPr>
          <w:rFonts w:ascii="Times New Roman" w:hAnsi="Times New Roman"/>
          <w:b/>
          <w:color w:val="000000" w:themeColor="text1"/>
          <w:sz w:val="32"/>
          <w:szCs w:val="28"/>
          <w:highlight w:val="none"/>
          <w14:textFill>
            <w14:solidFill>
              <w14:schemeClr w14:val="tx1"/>
            </w14:solidFill>
          </w14:textFill>
        </w:rPr>
        <w:t>住房城乡建设部</w:t>
      </w:r>
    </w:p>
    <w:p w14:paraId="3E55242B">
      <w:pPr>
        <w:ind w:right="2205" w:rightChars="1050"/>
        <w:jc w:val="center"/>
        <w:rPr>
          <w:rFonts w:ascii="Times New Roman" w:hAnsi="Times New Roman"/>
          <w:b/>
          <w:color w:val="000000" w:themeColor="text1"/>
          <w:sz w:val="32"/>
          <w:szCs w:val="28"/>
          <w:highlight w:val="none"/>
          <w14:textFill>
            <w14:solidFill>
              <w14:schemeClr w14:val="tx1"/>
            </w14:solidFill>
          </w14:textFill>
        </w:rPr>
      </w:pPr>
      <w:r>
        <w:rPr>
          <w:rFonts w:hint="eastAsia" w:ascii="Times New Roman" w:hAnsi="Times New Roman"/>
          <w:b/>
          <w:color w:val="000000" w:themeColor="text1"/>
          <w:sz w:val="32"/>
          <w:szCs w:val="28"/>
          <w:highlight w:val="none"/>
          <w:lang w:val="en-US" w:eastAsia="zh-CN"/>
          <w14:textFill>
            <w14:solidFill>
              <w14:schemeClr w14:val="tx1"/>
            </w14:solidFill>
          </w14:textFill>
        </w:rPr>
        <w:t xml:space="preserve">                  </w:t>
      </w:r>
      <w:r>
        <w:rPr>
          <w:rFonts w:ascii="Times New Roman" w:hAnsi="Times New Roman"/>
          <w:b/>
          <w:color w:val="000000" w:themeColor="text1"/>
          <w:sz w:val="32"/>
          <w:szCs w:val="28"/>
          <w:highlight w:val="none"/>
          <w14:textFill>
            <w14:solidFill>
              <w14:schemeClr w14:val="tx1"/>
            </w14:solidFill>
          </w14:textFill>
        </w:rPr>
        <w:t>国家工商行政管理总局</w:t>
      </w:r>
    </w:p>
    <w:p w14:paraId="32E6BFD8">
      <w:pPr>
        <w:rPr>
          <w:rFonts w:ascii="Times New Roman" w:hAnsi="Times New Roman"/>
          <w:b/>
          <w:color w:val="000000" w:themeColor="text1"/>
          <w:highlight w:val="none"/>
          <w14:textFill>
            <w14:solidFill>
              <w14:schemeClr w14:val="tx1"/>
            </w14:solidFill>
          </w14:textFill>
        </w:rPr>
      </w:pPr>
    </w:p>
    <w:p w14:paraId="4A910A85">
      <w:pPr>
        <w:pStyle w:val="3"/>
        <w:jc w:val="center"/>
        <w:rPr>
          <w:rFonts w:hint="eastAsia" w:ascii="仿宋" w:hAnsi="仿宋" w:eastAsia="仿宋" w:cs="仿宋"/>
          <w:b w:val="0"/>
          <w:color w:val="000000" w:themeColor="text1"/>
          <w:sz w:val="24"/>
          <w:szCs w:val="24"/>
          <w:highlight w:val="none"/>
          <w14:textFill>
            <w14:solidFill>
              <w14:schemeClr w14:val="tx1"/>
            </w14:solidFill>
          </w14:textFill>
        </w:rPr>
      </w:pPr>
      <w:r>
        <w:rPr>
          <w:rFonts w:ascii="Times New Roman" w:hAnsi="Times New Roman"/>
          <w:b/>
          <w:color w:val="000000" w:themeColor="text1"/>
          <w:highlight w:val="none"/>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第一部分 合同协议书</w:t>
      </w:r>
      <w:bookmarkEnd w:id="0"/>
      <w:bookmarkEnd w:id="1"/>
      <w:bookmarkEnd w:id="2"/>
      <w:bookmarkEnd w:id="3"/>
      <w:bookmarkEnd w:id="4"/>
      <w:bookmarkEnd w:id="5"/>
    </w:p>
    <w:p w14:paraId="54561ACE">
      <w:pPr>
        <w:spacing w:line="460" w:lineRule="exact"/>
        <w:rPr>
          <w:rFonts w:hint="eastAsia" w:ascii="仿宋" w:hAnsi="仿宋" w:eastAsia="仿宋" w:cs="仿宋"/>
          <w:b/>
          <w:color w:val="000000" w:themeColor="text1"/>
          <w:sz w:val="24"/>
          <w:highlight w:val="none"/>
          <w:u w:val="singl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发包人（全称）：</w:t>
      </w:r>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 xml:space="preserve">洛阳市偃师区府店镇人民政府 </w:t>
      </w:r>
      <w:r>
        <w:rPr>
          <w:rFonts w:hint="eastAsia" w:ascii="仿宋" w:hAnsi="仿宋" w:eastAsia="仿宋" w:cs="仿宋"/>
          <w:color w:val="000000" w:themeColor="text1"/>
          <w:sz w:val="24"/>
          <w:highlight w:val="none"/>
          <w:u w:val="single"/>
          <w:lang w:val="en-US" w:eastAsia="zh-CN"/>
          <w14:textFill>
            <w14:solidFill>
              <w14:schemeClr w14:val="tx1"/>
            </w14:solidFill>
          </w14:textFill>
        </w:rPr>
        <w:t> </w:t>
      </w:r>
    </w:p>
    <w:p w14:paraId="21554C2D">
      <w:pPr>
        <w:spacing w:line="460" w:lineRule="exact"/>
        <w:rPr>
          <w:rFonts w:hint="eastAsia" w:ascii="仿宋" w:hAnsi="仿宋" w:eastAsia="仿宋" w:cs="仿宋"/>
          <w:b/>
          <w:color w:val="000000" w:themeColor="text1"/>
          <w:sz w:val="24"/>
          <w:highlight w:val="none"/>
          <w:u w:val="singl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承包人（全称）：</w:t>
      </w:r>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河南天铭建设工程有限公司</w:t>
      </w:r>
    </w:p>
    <w:p w14:paraId="79D6C949">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根据《中华人民共和国</w:t>
      </w:r>
      <w:r>
        <w:rPr>
          <w:rFonts w:hint="eastAsia" w:ascii="仿宋" w:hAnsi="仿宋" w:eastAsia="仿宋" w:cs="仿宋"/>
          <w:color w:val="000000" w:themeColor="text1"/>
          <w:sz w:val="24"/>
          <w:highlight w:val="none"/>
          <w:lang w:eastAsia="zh-CN"/>
          <w14:textFill>
            <w14:solidFill>
              <w14:schemeClr w14:val="tx1"/>
            </w14:solidFill>
          </w14:textFill>
        </w:rPr>
        <w:t>民法典</w:t>
      </w:r>
      <w:r>
        <w:rPr>
          <w:rFonts w:hint="eastAsia" w:ascii="仿宋" w:hAnsi="仿宋" w:eastAsia="仿宋" w:cs="仿宋"/>
          <w:color w:val="000000" w:themeColor="text1"/>
          <w:sz w:val="24"/>
          <w:highlight w:val="none"/>
          <w14:textFill>
            <w14:solidFill>
              <w14:schemeClr w14:val="tx1"/>
            </w14:solidFill>
          </w14:textFill>
        </w:rPr>
        <w:t>》、《中华人民共和国建筑法》及有关法律规定，遵循平等、自愿、公平和诚实信用的原则，双方就工程施工及有关事项协商一致，共同达成如下协议：</w:t>
      </w:r>
    </w:p>
    <w:p w14:paraId="6021F5F2">
      <w:pPr>
        <w:spacing w:line="46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6" w:name="_Toc351203481"/>
      <w:bookmarkStart w:id="7" w:name="_Toc18055"/>
      <w:r>
        <w:rPr>
          <w:rFonts w:hint="eastAsia" w:ascii="仿宋" w:hAnsi="仿宋" w:eastAsia="仿宋" w:cs="仿宋"/>
          <w:b/>
          <w:bCs/>
          <w:color w:val="000000" w:themeColor="text1"/>
          <w:sz w:val="24"/>
          <w:highlight w:val="none"/>
          <w14:textFill>
            <w14:solidFill>
              <w14:schemeClr w14:val="tx1"/>
            </w14:solidFill>
          </w14:textFill>
        </w:rPr>
        <w:t>一、工程概况</w:t>
      </w:r>
      <w:bookmarkEnd w:id="6"/>
      <w:bookmarkEnd w:id="7"/>
    </w:p>
    <w:p w14:paraId="290B7123">
      <w:pPr>
        <w:pStyle w:val="9"/>
        <w:ind w:firstLine="42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1.工程名称</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b/>
          <w:bCs/>
          <w:color w:val="000000" w:themeColor="text1"/>
          <w:kern w:val="2"/>
          <w:sz w:val="24"/>
          <w:szCs w:val="24"/>
          <w:highlight w:val="none"/>
          <w:u w:val="single"/>
          <w:lang w:val="en-US" w:eastAsia="zh-CN" w:bidi="ar-SA"/>
          <w14:textFill>
            <w14:solidFill>
              <w14:schemeClr w14:val="tx1"/>
            </w14:solidFill>
          </w14:textFill>
        </w:rPr>
        <w:t>2025年偃师区府店镇柏峪村安全饮水项目</w:t>
      </w:r>
      <w:r>
        <w:rPr>
          <w:rFonts w:hint="eastAsia" w:ascii="仿宋" w:hAnsi="仿宋" w:eastAsia="仿宋" w:cs="仿宋"/>
          <w:color w:val="000000" w:themeColor="text1"/>
          <w:sz w:val="24"/>
          <w:highlight w:val="none"/>
          <w14:textFill>
            <w14:solidFill>
              <w14:schemeClr w14:val="tx1"/>
            </w14:solidFill>
          </w14:textFill>
        </w:rPr>
        <w:t>。</w:t>
      </w:r>
    </w:p>
    <w:p w14:paraId="2DFEF8D4">
      <w:pPr>
        <w:spacing w:line="460" w:lineRule="exact"/>
        <w:ind w:firstLine="470" w:firstLineChars="196"/>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2.工程地点：</w:t>
      </w:r>
      <w:r>
        <w:rPr>
          <w:rFonts w:hint="eastAsia" w:ascii="仿宋" w:hAnsi="仿宋" w:eastAsia="仿宋" w:cs="仿宋"/>
          <w:b/>
          <w:bCs/>
          <w:color w:val="000000" w:themeColor="text1"/>
          <w:kern w:val="2"/>
          <w:sz w:val="24"/>
          <w:szCs w:val="24"/>
          <w:highlight w:val="none"/>
          <w:u w:val="single"/>
          <w:lang w:val="en-US" w:eastAsia="zh-CN" w:bidi="ar-SA"/>
          <w14:textFill>
            <w14:solidFill>
              <w14:schemeClr w14:val="tx1"/>
            </w14:solidFill>
          </w14:textFill>
        </w:rPr>
        <w:t>偃师区府店镇柏峪村</w:t>
      </w:r>
      <w:r>
        <w:rPr>
          <w:rFonts w:hint="eastAsia" w:ascii="仿宋" w:hAnsi="仿宋" w:eastAsia="仿宋" w:cs="仿宋"/>
          <w:bCs/>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72A0772F">
      <w:pPr>
        <w:spacing w:line="460" w:lineRule="exact"/>
        <w:ind w:firstLine="470" w:firstLineChars="196"/>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3.工程立项批准文号：</w:t>
      </w:r>
      <w:r>
        <w:rPr>
          <w:rFonts w:hint="eastAsia" w:ascii="仿宋" w:hAnsi="仿宋" w:eastAsia="仿宋" w:cs="仿宋"/>
          <w:color w:val="000000" w:themeColor="text1"/>
          <w:sz w:val="24"/>
          <w:highlight w:val="none"/>
          <w:u w:val="single"/>
          <w14:textFill>
            <w14:solidFill>
              <w14:schemeClr w14:val="tx1"/>
            </w14:solidFill>
          </w14:textFill>
        </w:rPr>
        <w:t xml:space="preserve">                                 </w:t>
      </w:r>
      <w:r>
        <w:rPr>
          <w:rFonts w:hint="eastAsia" w:ascii="仿宋" w:hAnsi="仿宋" w:eastAsia="仿宋" w:cs="仿宋"/>
          <w:bCs/>
          <w:color w:val="000000" w:themeColor="text1"/>
          <w:sz w:val="24"/>
          <w:highlight w:val="none"/>
          <w14:textFill>
            <w14:solidFill>
              <w14:schemeClr w14:val="tx1"/>
            </w14:solidFill>
          </w14:textFill>
        </w:rPr>
        <w:t>。</w:t>
      </w:r>
    </w:p>
    <w:p w14:paraId="7F5FDAEF">
      <w:pPr>
        <w:spacing w:line="460" w:lineRule="exact"/>
        <w:ind w:firstLine="470" w:firstLineChars="196"/>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4.资金来源：</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b/>
          <w:bCs/>
          <w:color w:val="000000" w:themeColor="text1"/>
          <w:kern w:val="2"/>
          <w:sz w:val="24"/>
          <w:szCs w:val="24"/>
          <w:highlight w:val="none"/>
          <w:u w:val="single"/>
          <w:lang w:val="en-US" w:eastAsia="zh-CN" w:bidi="ar-SA"/>
          <w14:textFill>
            <w14:solidFill>
              <w14:schemeClr w14:val="tx1"/>
            </w14:solidFill>
          </w14:textFill>
        </w:rPr>
        <w:t xml:space="preserve">中央财政衔接推进乡村振兴补助资金+自筹资金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w:t>
      </w:r>
    </w:p>
    <w:p w14:paraId="54D977BD">
      <w:pPr>
        <w:spacing w:line="460" w:lineRule="exact"/>
        <w:ind w:firstLine="470" w:firstLineChars="196"/>
        <w:jc w:val="left"/>
        <w:rPr>
          <w:rFonts w:hint="default" w:ascii="仿宋" w:hAnsi="仿宋" w:eastAsia="仿宋" w:cs="仿宋"/>
          <w:bCs/>
          <w:color w:val="000000" w:themeColor="text1"/>
          <w:sz w:val="24"/>
          <w:highlight w:val="none"/>
          <w:u w:val="single"/>
          <w:lang w:val="en-US"/>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5.工程</w:t>
      </w:r>
      <w:r>
        <w:rPr>
          <w:rFonts w:hint="eastAsia" w:ascii="仿宋" w:hAnsi="仿宋" w:eastAsia="仿宋" w:cs="仿宋"/>
          <w:bCs/>
          <w:color w:val="000000" w:themeColor="text1"/>
          <w:sz w:val="24"/>
          <w:highlight w:val="none"/>
          <w:lang w:val="en-US" w:eastAsia="zh-CN"/>
          <w14:textFill>
            <w14:solidFill>
              <w14:schemeClr w14:val="tx1"/>
            </w14:solidFill>
          </w14:textFill>
        </w:rPr>
        <w:t>名称</w:t>
      </w:r>
      <w:r>
        <w:rPr>
          <w:rFonts w:hint="eastAsia" w:ascii="仿宋" w:hAnsi="仿宋" w:eastAsia="仿宋" w:cs="仿宋"/>
          <w:bCs/>
          <w:color w:val="000000" w:themeColor="text1"/>
          <w:sz w:val="24"/>
          <w:highlight w:val="none"/>
          <w14:textFill>
            <w14:solidFill>
              <w14:schemeClr w14:val="tx1"/>
            </w14:solidFill>
          </w14:textFill>
        </w:rPr>
        <w:t>内容：</w:t>
      </w:r>
      <w:r>
        <w:rPr>
          <w:rFonts w:hint="eastAsia" w:ascii="仿宋" w:hAnsi="仿宋" w:eastAsia="仿宋" w:cs="仿宋"/>
          <w:color w:val="000000" w:themeColor="text1"/>
          <w:sz w:val="24"/>
          <w:highlight w:val="none"/>
          <w:u w:val="none"/>
          <w:lang w:val="en-US" w:eastAsia="zh-CN"/>
          <w14:textFill>
            <w14:solidFill>
              <w14:schemeClr w14:val="tx1"/>
            </w14:solidFill>
          </w14:textFill>
        </w:rPr>
        <w:t>本工程名称为</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2025年偃师区府店镇柏峪村安全饮水项目</w:t>
      </w:r>
      <w:r>
        <w:rPr>
          <w:rFonts w:hint="eastAsia" w:ascii="仿宋" w:hAnsi="仿宋" w:eastAsia="仿宋" w:cs="仿宋"/>
          <w:color w:val="000000" w:themeColor="text1"/>
          <w:sz w:val="24"/>
          <w:highlight w:val="none"/>
          <w:u w:val="none"/>
          <w:lang w:val="en-US" w:eastAsia="zh-CN"/>
          <w14:textFill>
            <w14:solidFill>
              <w14:schemeClr w14:val="tx1"/>
            </w14:solidFill>
          </w14:textFill>
        </w:rPr>
        <w:t xml:space="preserve"> ，主要工程内容包括：</w:t>
      </w:r>
      <w:r>
        <w:rPr>
          <w:rFonts w:hint="eastAsia" w:ascii="仿宋" w:hAnsi="仿宋" w:eastAsia="仿宋" w:cs="仿宋"/>
          <w:sz w:val="24"/>
          <w:szCs w:val="24"/>
          <w:u w:val="single"/>
        </w:rPr>
        <w:t>①新打600米深机井1眼，建设</w:t>
      </w:r>
      <w:r>
        <w:rPr>
          <w:rFonts w:hint="eastAsia" w:ascii="仿宋" w:hAnsi="仿宋" w:eastAsia="仿宋" w:cs="仿宋"/>
          <w:sz w:val="24"/>
          <w:szCs w:val="24"/>
          <w:u w:val="single"/>
          <w:lang w:val="en-US" w:eastAsia="zh-CN"/>
        </w:rPr>
        <w:t>3m*3m</w:t>
      </w:r>
      <w:r>
        <w:rPr>
          <w:rFonts w:hint="eastAsia" w:ascii="仿宋" w:hAnsi="仿宋" w:eastAsia="仿宋" w:cs="仿宋"/>
          <w:sz w:val="24"/>
          <w:szCs w:val="24"/>
          <w:u w:val="single"/>
        </w:rPr>
        <w:t>砖混井房1座，</w:t>
      </w:r>
      <w:r>
        <w:rPr>
          <w:rFonts w:hint="eastAsia" w:ascii="仿宋" w:hAnsi="仿宋" w:eastAsia="仿宋" w:cs="仿宋"/>
          <w:sz w:val="24"/>
          <w:szCs w:val="24"/>
          <w:u w:val="single"/>
          <w:lang w:val="en-US" w:eastAsia="zh-CN"/>
        </w:rPr>
        <w:t>配套</w:t>
      </w:r>
      <w:r>
        <w:rPr>
          <w:rFonts w:hint="eastAsia" w:ascii="仿宋" w:hAnsi="仿宋" w:eastAsia="仿宋" w:cs="仿宋"/>
          <w:sz w:val="24"/>
          <w:szCs w:val="24"/>
          <w:u w:val="single"/>
        </w:rPr>
        <w:t>水泵1套</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配套消毒柜1台。</w:t>
      </w:r>
      <w:r>
        <w:rPr>
          <w:rFonts w:hint="eastAsia" w:ascii="仿宋" w:hAnsi="仿宋" w:eastAsia="仿宋" w:cs="仿宋"/>
          <w:sz w:val="24"/>
          <w:szCs w:val="24"/>
          <w:u w:val="single"/>
        </w:rPr>
        <w:t>②铺设型号为YJLV22-0.6/1KV 4*95电缆290米。③新建阀门井1座，铺设De110PE管108m，并配套安装管路管件、计量控件。④新建20t压力罐及基础1座。</w:t>
      </w:r>
    </w:p>
    <w:p w14:paraId="44331D17">
      <w:pPr>
        <w:spacing w:line="460" w:lineRule="exact"/>
        <w:ind w:firstLine="470" w:firstLineChars="196"/>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6.工程承包范围：</w:t>
      </w:r>
    </w:p>
    <w:p w14:paraId="4F56D173">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u w:val="single"/>
          <w:lang w:val="en-US" w:eastAsia="zh-CN"/>
          <w14:textFill>
            <w14:solidFill>
              <w14:schemeClr w14:val="tx1"/>
            </w14:solidFill>
          </w14:textFill>
        </w:rPr>
        <w:t>工程清单所包含的全部内容</w:t>
      </w:r>
      <w:r>
        <w:rPr>
          <w:rFonts w:hint="eastAsia" w:ascii="仿宋" w:hAnsi="仿宋" w:eastAsia="仿宋" w:cs="仿宋"/>
          <w:color w:val="000000" w:themeColor="text1"/>
          <w:sz w:val="24"/>
          <w:highlight w:val="none"/>
          <w14:textFill>
            <w14:solidFill>
              <w14:schemeClr w14:val="tx1"/>
            </w14:solidFill>
          </w14:textFill>
        </w:rPr>
        <w:t>。</w:t>
      </w:r>
    </w:p>
    <w:p w14:paraId="448C2515">
      <w:pPr>
        <w:spacing w:line="46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8" w:name="_Toc351203482"/>
      <w:bookmarkStart w:id="9" w:name="_Toc9676"/>
      <w:r>
        <w:rPr>
          <w:rFonts w:hint="eastAsia" w:ascii="仿宋" w:hAnsi="仿宋" w:eastAsia="仿宋" w:cs="仿宋"/>
          <w:b/>
          <w:bCs/>
          <w:color w:val="000000" w:themeColor="text1"/>
          <w:sz w:val="24"/>
          <w:highlight w:val="none"/>
          <w14:textFill>
            <w14:solidFill>
              <w14:schemeClr w14:val="tx1"/>
            </w14:solidFill>
          </w14:textFill>
        </w:rPr>
        <w:t>二、合同工期</w:t>
      </w:r>
      <w:bookmarkEnd w:id="8"/>
      <w:bookmarkEnd w:id="9"/>
    </w:p>
    <w:p w14:paraId="48CDBA6C">
      <w:pPr>
        <w:spacing w:line="460" w:lineRule="exact"/>
        <w:ind w:firstLine="45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计划开工日期：</w:t>
      </w:r>
      <w:r>
        <w:rPr>
          <w:rFonts w:hint="eastAsia" w:ascii="仿宋" w:hAnsi="仿宋" w:eastAsia="仿宋" w:cs="仿宋"/>
          <w:color w:val="000000" w:themeColor="text1"/>
          <w:sz w:val="24"/>
          <w:highlight w:val="none"/>
          <w:lang w:val="en-US" w:eastAsia="zh-CN"/>
          <w14:textFill>
            <w14:solidFill>
              <w14:schemeClr w14:val="tx1"/>
            </w14:solidFill>
          </w14:textFill>
        </w:rPr>
        <w:t>2025</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日。</w:t>
      </w:r>
    </w:p>
    <w:p w14:paraId="49781040">
      <w:pPr>
        <w:spacing w:line="460" w:lineRule="exact"/>
        <w:ind w:firstLine="45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计划竣工日期：</w:t>
      </w:r>
      <w:r>
        <w:rPr>
          <w:rFonts w:hint="eastAsia" w:ascii="仿宋" w:hAnsi="仿宋" w:eastAsia="仿宋" w:cs="仿宋"/>
          <w:color w:val="000000" w:themeColor="text1"/>
          <w:sz w:val="24"/>
          <w:highlight w:val="none"/>
          <w:lang w:val="en-US" w:eastAsia="zh-CN"/>
          <w14:textFill>
            <w14:solidFill>
              <w14:schemeClr w14:val="tx1"/>
            </w14:solidFill>
          </w14:textFill>
        </w:rPr>
        <w:t>2026</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31</w:t>
      </w:r>
      <w:r>
        <w:rPr>
          <w:rFonts w:hint="eastAsia" w:ascii="仿宋" w:hAnsi="仿宋" w:eastAsia="仿宋" w:cs="仿宋"/>
          <w:color w:val="000000" w:themeColor="text1"/>
          <w:sz w:val="24"/>
          <w:highlight w:val="none"/>
          <w14:textFill>
            <w14:solidFill>
              <w14:schemeClr w14:val="tx1"/>
            </w14:solidFill>
          </w14:textFill>
        </w:rPr>
        <w:t>日。</w:t>
      </w:r>
    </w:p>
    <w:p w14:paraId="3AEE898C">
      <w:pPr>
        <w:spacing w:line="460" w:lineRule="exact"/>
        <w:ind w:firstLine="45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工期总日历天数：</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u w:val="single"/>
          <w:lang w:val="en-US" w:eastAsia="zh-CN"/>
          <w14:textFill>
            <w14:solidFill>
              <w14:schemeClr w14:val="tx1"/>
            </w14:solidFill>
          </w14:textFill>
        </w:rPr>
        <w:t>60日历</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5B303D66">
      <w:pPr>
        <w:spacing w:line="46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10" w:name="_Toc351203483"/>
      <w:bookmarkStart w:id="11" w:name="_Toc8013"/>
      <w:r>
        <w:rPr>
          <w:rFonts w:hint="eastAsia" w:ascii="仿宋" w:hAnsi="仿宋" w:eastAsia="仿宋" w:cs="仿宋"/>
          <w:b/>
          <w:bCs/>
          <w:color w:val="000000" w:themeColor="text1"/>
          <w:sz w:val="24"/>
          <w:highlight w:val="none"/>
          <w14:textFill>
            <w14:solidFill>
              <w14:schemeClr w14:val="tx1"/>
            </w14:solidFill>
          </w14:textFill>
        </w:rPr>
        <w:t>三、质量标准</w:t>
      </w:r>
      <w:bookmarkEnd w:id="10"/>
      <w:bookmarkEnd w:id="11"/>
    </w:p>
    <w:p w14:paraId="3254943E">
      <w:pPr>
        <w:spacing w:line="460" w:lineRule="exact"/>
        <w:ind w:firstLine="45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工程质量符合</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国家质量验收备案合格  </w:t>
      </w:r>
      <w:r>
        <w:rPr>
          <w:rFonts w:hint="eastAsia" w:ascii="仿宋" w:hAnsi="仿宋" w:eastAsia="仿宋" w:cs="仿宋"/>
          <w:color w:val="000000" w:themeColor="text1"/>
          <w:sz w:val="24"/>
          <w:highlight w:val="none"/>
          <w14:textFill>
            <w14:solidFill>
              <w14:schemeClr w14:val="tx1"/>
            </w14:solidFill>
          </w14:textFill>
        </w:rPr>
        <w:t>标准。</w:t>
      </w:r>
    </w:p>
    <w:p w14:paraId="468DA1E5">
      <w:pPr>
        <w:spacing w:line="46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12" w:name="_Toc351203484"/>
      <w:bookmarkStart w:id="13" w:name="_Toc8140"/>
      <w:r>
        <w:rPr>
          <w:rFonts w:hint="eastAsia" w:ascii="仿宋" w:hAnsi="仿宋" w:eastAsia="仿宋" w:cs="仿宋"/>
          <w:b/>
          <w:bCs/>
          <w:color w:val="000000" w:themeColor="text1"/>
          <w:sz w:val="24"/>
          <w:highlight w:val="none"/>
          <w14:textFill>
            <w14:solidFill>
              <w14:schemeClr w14:val="tx1"/>
            </w14:solidFill>
          </w14:textFill>
        </w:rPr>
        <w:t>四、签约合同价与合同价格形式</w:t>
      </w:r>
      <w:bookmarkEnd w:id="12"/>
      <w:bookmarkEnd w:id="13"/>
      <w:r>
        <w:rPr>
          <w:rFonts w:hint="eastAsia" w:ascii="仿宋" w:hAnsi="仿宋" w:eastAsia="仿宋" w:cs="仿宋"/>
          <w:b/>
          <w:bCs/>
          <w:color w:val="000000" w:themeColor="text1"/>
          <w:sz w:val="24"/>
          <w:highlight w:val="none"/>
          <w14:textFill>
            <w14:solidFill>
              <w14:schemeClr w14:val="tx1"/>
            </w14:solidFill>
          </w14:textFill>
        </w:rPr>
        <w:tab/>
      </w:r>
    </w:p>
    <w:p w14:paraId="0C2C021D">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1.签约合同价为：</w:t>
      </w:r>
    </w:p>
    <w:p w14:paraId="27F63A24">
      <w:pPr>
        <w:spacing w:line="4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人民币（大写</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捌拾壹万肆仟元整</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814000.00</w:t>
      </w:r>
      <w:r>
        <w:rPr>
          <w:rFonts w:hint="eastAsia" w:ascii="仿宋" w:hAnsi="仿宋" w:eastAsia="仿宋" w:cs="仿宋"/>
          <w:color w:val="000000" w:themeColor="text1"/>
          <w:sz w:val="24"/>
          <w:highlight w:val="none"/>
          <w14:textFill>
            <w14:solidFill>
              <w14:schemeClr w14:val="tx1"/>
            </w14:solidFill>
          </w14:textFill>
        </w:rPr>
        <w:t>元)；</w:t>
      </w:r>
    </w:p>
    <w:p w14:paraId="2263B73B">
      <w:pPr>
        <w:spacing w:line="460" w:lineRule="exact"/>
        <w:ind w:firstLine="480" w:firstLineChars="200"/>
        <w:rPr>
          <w:rFonts w:hint="default" w:ascii="仿宋" w:hAnsi="仿宋" w:eastAsia="仿宋" w:cs="仿宋"/>
          <w:kern w:val="0"/>
          <w:sz w:val="24"/>
          <w:szCs w:val="24"/>
          <w:u w:val="single"/>
          <w:lang w:val="en-US" w:eastAsia="zh-CN"/>
        </w:rPr>
      </w:pPr>
      <w:bookmarkStart w:id="14" w:name="_Toc351203485"/>
      <w:bookmarkStart w:id="15" w:name="_Toc32382"/>
      <w:r>
        <w:rPr>
          <w:rFonts w:hint="eastAsia" w:ascii="仿宋" w:hAnsi="仿宋" w:eastAsia="仿宋" w:cs="仿宋"/>
          <w:kern w:val="0"/>
          <w:sz w:val="24"/>
          <w:szCs w:val="24"/>
          <w:lang w:val="en-US" w:eastAsia="zh-CN"/>
        </w:rPr>
        <w:t>2.合同价格形式：</w:t>
      </w:r>
      <w:r>
        <w:rPr>
          <w:rFonts w:hint="eastAsia" w:ascii="仿宋" w:hAnsi="仿宋" w:eastAsia="仿宋" w:cs="仿宋"/>
          <w:kern w:val="0"/>
          <w:sz w:val="24"/>
          <w:szCs w:val="24"/>
          <w:u w:val="single"/>
          <w:lang w:val="en-US" w:eastAsia="zh-CN"/>
        </w:rPr>
        <w:t xml:space="preserve"> 固定单价合同（最终合同价款，按实际完成工程量据实结算）。</w:t>
      </w:r>
    </w:p>
    <w:p w14:paraId="2672AF85">
      <w:pPr>
        <w:spacing w:line="46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五、</w:t>
      </w:r>
      <w:bookmarkEnd w:id="14"/>
      <w:r>
        <w:rPr>
          <w:rFonts w:hint="eastAsia" w:ascii="仿宋" w:hAnsi="仿宋" w:eastAsia="仿宋" w:cs="仿宋"/>
          <w:b/>
          <w:bCs/>
          <w:color w:val="000000" w:themeColor="text1"/>
          <w:sz w:val="24"/>
          <w:highlight w:val="none"/>
          <w14:textFill>
            <w14:solidFill>
              <w14:schemeClr w14:val="tx1"/>
            </w14:solidFill>
          </w14:textFill>
        </w:rPr>
        <w:t>项目经理</w:t>
      </w:r>
      <w:bookmarkEnd w:id="15"/>
    </w:p>
    <w:p w14:paraId="27EE2DEE">
      <w:pPr>
        <w:spacing w:line="460" w:lineRule="exact"/>
        <w:ind w:firstLine="480" w:firstLineChars="200"/>
        <w:rPr>
          <w:rFonts w:hint="default"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承包人项目经理：</w:t>
      </w:r>
      <w:r>
        <w:rPr>
          <w:rFonts w:hint="eastAsia" w:ascii="仿宋" w:hAnsi="仿宋" w:eastAsia="仿宋" w:cs="仿宋"/>
          <w:color w:val="000000" w:themeColor="text1"/>
          <w:sz w:val="24"/>
          <w:highlight w:val="none"/>
          <w:u w:val="single"/>
          <w:lang w:val="en-US" w:eastAsia="zh-CN"/>
          <w14:textFill>
            <w14:solidFill>
              <w14:schemeClr w14:val="tx1"/>
            </w14:solidFill>
          </w14:textFill>
        </w:rPr>
        <w:t>罗 珂  注册编号：豫241202153662</w:t>
      </w:r>
    </w:p>
    <w:p w14:paraId="23393CDE">
      <w:pPr>
        <w:spacing w:line="46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16" w:name="_Toc3144"/>
      <w:bookmarkStart w:id="17" w:name="_Toc351203486"/>
      <w:r>
        <w:rPr>
          <w:rFonts w:hint="eastAsia" w:ascii="仿宋" w:hAnsi="仿宋" w:eastAsia="仿宋" w:cs="仿宋"/>
          <w:b/>
          <w:bCs/>
          <w:color w:val="000000" w:themeColor="text1"/>
          <w:sz w:val="24"/>
          <w:highlight w:val="none"/>
          <w14:textFill>
            <w14:solidFill>
              <w14:schemeClr w14:val="tx1"/>
            </w14:solidFill>
          </w14:textFill>
        </w:rPr>
        <w:t>六、合同文件构成</w:t>
      </w:r>
      <w:bookmarkEnd w:id="16"/>
      <w:bookmarkEnd w:id="17"/>
    </w:p>
    <w:p w14:paraId="239D9193">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本协议书与下列文件一起构成合同文件：</w:t>
      </w:r>
    </w:p>
    <w:p w14:paraId="2854DA72">
      <w:pPr>
        <w:autoSpaceDE w:val="0"/>
        <w:autoSpaceDN w:val="0"/>
        <w:adjustRightInd w:val="0"/>
        <w:spacing w:line="4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（1）中标通知书（如果有）；</w:t>
      </w:r>
    </w:p>
    <w:p w14:paraId="58006BC1">
      <w:pPr>
        <w:autoSpaceDE w:val="0"/>
        <w:autoSpaceDN w:val="0"/>
        <w:adjustRightInd w:val="0"/>
        <w:spacing w:line="4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（2）投标函及其附录（如果有）； </w:t>
      </w:r>
    </w:p>
    <w:p w14:paraId="3047D22D">
      <w:pPr>
        <w:autoSpaceDE w:val="0"/>
        <w:autoSpaceDN w:val="0"/>
        <w:adjustRightInd w:val="0"/>
        <w:spacing w:line="4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（3）专用合同条款及其附件；</w:t>
      </w:r>
    </w:p>
    <w:p w14:paraId="0033A49F">
      <w:pPr>
        <w:autoSpaceDE w:val="0"/>
        <w:autoSpaceDN w:val="0"/>
        <w:adjustRightInd w:val="0"/>
        <w:spacing w:line="4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（4）通用合同条款；</w:t>
      </w:r>
    </w:p>
    <w:p w14:paraId="51072822">
      <w:pPr>
        <w:autoSpaceDE w:val="0"/>
        <w:autoSpaceDN w:val="0"/>
        <w:adjustRightInd w:val="0"/>
        <w:spacing w:line="4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（5）技术标准和要求；</w:t>
      </w:r>
    </w:p>
    <w:p w14:paraId="53E5CEF2">
      <w:pPr>
        <w:autoSpaceDE w:val="0"/>
        <w:autoSpaceDN w:val="0"/>
        <w:adjustRightInd w:val="0"/>
        <w:spacing w:line="4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（6）图纸；</w:t>
      </w:r>
    </w:p>
    <w:p w14:paraId="22FE38B8">
      <w:pPr>
        <w:autoSpaceDE w:val="0"/>
        <w:autoSpaceDN w:val="0"/>
        <w:adjustRightInd w:val="0"/>
        <w:spacing w:line="4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（7）已标价工程量清单或预算书；</w:t>
      </w:r>
    </w:p>
    <w:p w14:paraId="02D6D5A8">
      <w:pPr>
        <w:autoSpaceDE w:val="0"/>
        <w:autoSpaceDN w:val="0"/>
        <w:adjustRightInd w:val="0"/>
        <w:spacing w:line="4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（8）其他合同文件。</w:t>
      </w:r>
    </w:p>
    <w:p w14:paraId="30513D36">
      <w:pPr>
        <w:autoSpaceDE w:val="0"/>
        <w:autoSpaceDN w:val="0"/>
        <w:adjustRightInd w:val="0"/>
        <w:spacing w:line="4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在合同订立及履行过程中形成的与合同有关的文件均构成合同文件组成部分。</w:t>
      </w:r>
    </w:p>
    <w:p w14:paraId="51D9CFF9">
      <w:pPr>
        <w:autoSpaceDE w:val="0"/>
        <w:autoSpaceDN w:val="0"/>
        <w:adjustRightInd w:val="0"/>
        <w:spacing w:line="4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51A468B6">
      <w:pPr>
        <w:spacing w:line="46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18" w:name="_Toc17914"/>
      <w:bookmarkStart w:id="19" w:name="_Toc351203487"/>
      <w:r>
        <w:rPr>
          <w:rFonts w:hint="eastAsia" w:ascii="仿宋" w:hAnsi="仿宋" w:eastAsia="仿宋" w:cs="仿宋"/>
          <w:b/>
          <w:bCs/>
          <w:color w:val="000000" w:themeColor="text1"/>
          <w:sz w:val="24"/>
          <w:highlight w:val="none"/>
          <w14:textFill>
            <w14:solidFill>
              <w14:schemeClr w14:val="tx1"/>
            </w14:solidFill>
          </w14:textFill>
        </w:rPr>
        <w:t>七、承诺</w:t>
      </w:r>
      <w:bookmarkEnd w:id="18"/>
      <w:bookmarkEnd w:id="19"/>
    </w:p>
    <w:p w14:paraId="0F189269">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469F533B">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4E990070">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3.发包人和承包人通过招投标形式签订合同的，双方理解并承诺不再就同一工程另行签订与合同实质性内容相背离的协议。</w:t>
      </w:r>
    </w:p>
    <w:p w14:paraId="44DC9A9F">
      <w:pPr>
        <w:spacing w:line="46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20" w:name="_Toc351203488"/>
      <w:r>
        <w:rPr>
          <w:rFonts w:hint="eastAsia" w:ascii="仿宋" w:hAnsi="仿宋" w:eastAsia="仿宋" w:cs="仿宋"/>
          <w:b/>
          <w:bCs/>
          <w:color w:val="000000" w:themeColor="text1"/>
          <w:sz w:val="24"/>
          <w:highlight w:val="none"/>
          <w14:textFill>
            <w14:solidFill>
              <w14:schemeClr w14:val="tx1"/>
            </w14:solidFill>
          </w14:textFill>
        </w:rPr>
        <w:t>八、词语含义</w:t>
      </w:r>
      <w:bookmarkEnd w:id="20"/>
    </w:p>
    <w:p w14:paraId="08FB6332">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本协议书中词语含义与第二部分通用合同条款中赋予的含义相同。</w:t>
      </w:r>
    </w:p>
    <w:p w14:paraId="370E8186">
      <w:pPr>
        <w:spacing w:line="46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21" w:name="_Toc351203489"/>
      <w:bookmarkStart w:id="22" w:name="_Toc3496"/>
      <w:r>
        <w:rPr>
          <w:rFonts w:hint="eastAsia" w:ascii="仿宋" w:hAnsi="仿宋" w:eastAsia="仿宋" w:cs="仿宋"/>
          <w:b/>
          <w:bCs/>
          <w:color w:val="000000" w:themeColor="text1"/>
          <w:sz w:val="24"/>
          <w:highlight w:val="none"/>
          <w14:textFill>
            <w14:solidFill>
              <w14:schemeClr w14:val="tx1"/>
            </w14:solidFill>
          </w14:textFill>
        </w:rPr>
        <w:t>九、签订时间</w:t>
      </w:r>
      <w:bookmarkEnd w:id="21"/>
      <w:bookmarkEnd w:id="22"/>
    </w:p>
    <w:p w14:paraId="3B967287">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本合同于</w:t>
      </w:r>
      <w:r>
        <w:rPr>
          <w:rFonts w:hint="eastAsia" w:ascii="仿宋" w:hAnsi="仿宋" w:eastAsia="仿宋" w:cs="仿宋"/>
          <w:bCs/>
          <w:color w:val="000000" w:themeColor="text1"/>
          <w:sz w:val="24"/>
          <w:highlight w:val="none"/>
          <w:lang w:val="en-US" w:eastAsia="zh-CN"/>
          <w14:textFill>
            <w14:solidFill>
              <w14:schemeClr w14:val="tx1"/>
            </w14:solidFill>
          </w14:textFill>
        </w:rPr>
        <w:t>2025</w:t>
      </w:r>
      <w:r>
        <w:rPr>
          <w:rFonts w:hint="eastAsia" w:ascii="仿宋" w:hAnsi="仿宋" w:eastAsia="仿宋" w:cs="仿宋"/>
          <w:bCs/>
          <w:color w:val="000000" w:themeColor="text1"/>
          <w:sz w:val="24"/>
          <w:highlight w:val="none"/>
          <w14:textFill>
            <w14:solidFill>
              <w14:schemeClr w14:val="tx1"/>
            </w14:solidFill>
          </w14:textFill>
        </w:rPr>
        <w:t>年</w:t>
      </w:r>
      <w:r>
        <w:rPr>
          <w:rFonts w:hint="eastAsia" w:ascii="仿宋" w:hAnsi="仿宋" w:eastAsia="仿宋" w:cs="仿宋"/>
          <w:bCs/>
          <w:color w:val="000000" w:themeColor="text1"/>
          <w:sz w:val="24"/>
          <w:highlight w:val="none"/>
          <w:lang w:val="en-US" w:eastAsia="zh-CN"/>
          <w14:textFill>
            <w14:solidFill>
              <w14:schemeClr w14:val="tx1"/>
            </w14:solidFill>
          </w14:textFill>
        </w:rPr>
        <w:t>11</w:t>
      </w:r>
      <w:r>
        <w:rPr>
          <w:rFonts w:hint="eastAsia" w:ascii="仿宋" w:hAnsi="仿宋" w:eastAsia="仿宋" w:cs="仿宋"/>
          <w:bCs/>
          <w:color w:val="000000" w:themeColor="text1"/>
          <w:sz w:val="24"/>
          <w:highlight w:val="none"/>
          <w14:textFill>
            <w14:solidFill>
              <w14:schemeClr w14:val="tx1"/>
            </w14:solidFill>
          </w14:textFill>
        </w:rPr>
        <w:t>月</w:t>
      </w:r>
      <w:r>
        <w:rPr>
          <w:rFonts w:hint="eastAsia" w:ascii="仿宋" w:hAnsi="仿宋" w:eastAsia="仿宋" w:cs="仿宋"/>
          <w:bCs/>
          <w:color w:val="000000" w:themeColor="text1"/>
          <w:sz w:val="24"/>
          <w:highlight w:val="none"/>
          <w:lang w:val="en-US" w:eastAsia="zh-CN"/>
          <w14:textFill>
            <w14:solidFill>
              <w14:schemeClr w14:val="tx1"/>
            </w14:solidFill>
          </w14:textFill>
        </w:rPr>
        <w:t>28</w:t>
      </w:r>
      <w:r>
        <w:rPr>
          <w:rFonts w:hint="eastAsia" w:ascii="仿宋" w:hAnsi="仿宋" w:eastAsia="仿宋" w:cs="仿宋"/>
          <w:bCs/>
          <w:color w:val="000000" w:themeColor="text1"/>
          <w:sz w:val="24"/>
          <w:highlight w:val="none"/>
          <w14:textFill>
            <w14:solidFill>
              <w14:schemeClr w14:val="tx1"/>
            </w14:solidFill>
          </w14:textFill>
        </w:rPr>
        <w:t>日签订。</w:t>
      </w:r>
    </w:p>
    <w:p w14:paraId="4AFE03FA">
      <w:pPr>
        <w:spacing w:line="46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23" w:name="_Toc16002"/>
      <w:bookmarkStart w:id="24" w:name="_Toc351203490"/>
      <w:r>
        <w:rPr>
          <w:rFonts w:hint="eastAsia" w:ascii="仿宋" w:hAnsi="仿宋" w:eastAsia="仿宋" w:cs="仿宋"/>
          <w:b/>
          <w:bCs/>
          <w:color w:val="000000" w:themeColor="text1"/>
          <w:sz w:val="24"/>
          <w:highlight w:val="none"/>
          <w14:textFill>
            <w14:solidFill>
              <w14:schemeClr w14:val="tx1"/>
            </w14:solidFill>
          </w14:textFill>
        </w:rPr>
        <w:t>十、签订地点</w:t>
      </w:r>
      <w:bookmarkEnd w:id="23"/>
      <w:bookmarkEnd w:id="24"/>
    </w:p>
    <w:p w14:paraId="285BCD0F">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本合同在</w:t>
      </w:r>
      <w:r>
        <w:rPr>
          <w:rFonts w:hint="eastAsia" w:ascii="仿宋" w:hAnsi="仿宋" w:eastAsia="仿宋" w:cs="仿宋"/>
          <w:bCs/>
          <w:color w:val="000000" w:themeColor="text1"/>
          <w:sz w:val="24"/>
          <w:highlight w:val="none"/>
          <w:u w:val="single"/>
          <w:lang w:val="en-US" w:eastAsia="zh-CN"/>
          <w14:textFill>
            <w14:solidFill>
              <w14:schemeClr w14:val="tx1"/>
            </w14:solidFill>
          </w14:textFill>
        </w:rPr>
        <w:t>偃师区府店镇</w:t>
      </w:r>
      <w:r>
        <w:rPr>
          <w:rFonts w:hint="eastAsia" w:ascii="仿宋" w:hAnsi="仿宋" w:eastAsia="仿宋" w:cs="仿宋"/>
          <w:bCs/>
          <w:color w:val="000000" w:themeColor="text1"/>
          <w:sz w:val="24"/>
          <w:highlight w:val="none"/>
          <w14:textFill>
            <w14:solidFill>
              <w14:schemeClr w14:val="tx1"/>
            </w14:solidFill>
          </w14:textFill>
        </w:rPr>
        <w:t>签订。</w:t>
      </w:r>
    </w:p>
    <w:p w14:paraId="1D9BD88A">
      <w:pPr>
        <w:spacing w:line="46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25" w:name="_Toc8629"/>
      <w:bookmarkStart w:id="26" w:name="_Toc351203491"/>
      <w:r>
        <w:rPr>
          <w:rFonts w:hint="eastAsia" w:ascii="仿宋" w:hAnsi="仿宋" w:eastAsia="仿宋" w:cs="仿宋"/>
          <w:b/>
          <w:bCs/>
          <w:color w:val="000000" w:themeColor="text1"/>
          <w:sz w:val="24"/>
          <w:highlight w:val="none"/>
          <w14:textFill>
            <w14:solidFill>
              <w14:schemeClr w14:val="tx1"/>
            </w14:solidFill>
          </w14:textFill>
        </w:rPr>
        <w:t>十一、补充协议</w:t>
      </w:r>
      <w:bookmarkEnd w:id="25"/>
      <w:bookmarkEnd w:id="26"/>
    </w:p>
    <w:p w14:paraId="210737A2">
      <w:pPr>
        <w:spacing w:line="460" w:lineRule="exact"/>
        <w:ind w:firstLine="480"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合同未尽事宜，合同当事人另行签订补充协议，补充协议是合同的组成部分。</w:t>
      </w:r>
    </w:p>
    <w:p w14:paraId="00D7DA48">
      <w:pPr>
        <w:spacing w:line="46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27" w:name="_Toc11909"/>
      <w:bookmarkStart w:id="28" w:name="_Toc351203492"/>
      <w:r>
        <w:rPr>
          <w:rFonts w:hint="eastAsia" w:ascii="仿宋" w:hAnsi="仿宋" w:eastAsia="仿宋" w:cs="仿宋"/>
          <w:b/>
          <w:bCs/>
          <w:color w:val="000000" w:themeColor="text1"/>
          <w:sz w:val="24"/>
          <w:highlight w:val="none"/>
          <w14:textFill>
            <w14:solidFill>
              <w14:schemeClr w14:val="tx1"/>
            </w14:solidFill>
          </w14:textFill>
        </w:rPr>
        <w:t>十二、合同生效</w:t>
      </w:r>
      <w:bookmarkEnd w:id="27"/>
      <w:bookmarkEnd w:id="28"/>
    </w:p>
    <w:p w14:paraId="633411C7">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本合同自</w:t>
      </w:r>
      <w:r>
        <w:rPr>
          <w:rFonts w:hint="eastAsia" w:ascii="仿宋" w:hAnsi="仿宋" w:eastAsia="仿宋" w:cs="仿宋"/>
          <w:bCs/>
          <w:color w:val="000000" w:themeColor="text1"/>
          <w:sz w:val="24"/>
          <w:highlight w:val="none"/>
          <w:u w:val="single"/>
          <w:lang w:val="en-US" w:eastAsia="zh-CN"/>
          <w14:textFill>
            <w14:solidFill>
              <w14:schemeClr w14:val="tx1"/>
            </w14:solidFill>
          </w14:textFill>
        </w:rPr>
        <w:t>签订之日起</w:t>
      </w:r>
      <w:r>
        <w:rPr>
          <w:rFonts w:hint="eastAsia" w:ascii="仿宋" w:hAnsi="仿宋" w:eastAsia="仿宋" w:cs="仿宋"/>
          <w:bCs/>
          <w:color w:val="000000" w:themeColor="text1"/>
          <w:sz w:val="24"/>
          <w:highlight w:val="none"/>
          <w14:textFill>
            <w14:solidFill>
              <w14:schemeClr w14:val="tx1"/>
            </w14:solidFill>
          </w14:textFill>
        </w:rPr>
        <w:t>生效。</w:t>
      </w:r>
    </w:p>
    <w:p w14:paraId="7F6DD41A">
      <w:pPr>
        <w:spacing w:line="46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29" w:name="_Toc24009"/>
      <w:bookmarkStart w:id="30" w:name="_Toc351203493"/>
      <w:r>
        <w:rPr>
          <w:rFonts w:hint="eastAsia" w:ascii="仿宋" w:hAnsi="仿宋" w:eastAsia="仿宋" w:cs="仿宋"/>
          <w:b/>
          <w:bCs/>
          <w:color w:val="000000" w:themeColor="text1"/>
          <w:sz w:val="24"/>
          <w:highlight w:val="none"/>
          <w14:textFill>
            <w14:solidFill>
              <w14:schemeClr w14:val="tx1"/>
            </w14:solidFill>
          </w14:textFill>
        </w:rPr>
        <w:t>十三、合同份数</w:t>
      </w:r>
      <w:bookmarkEnd w:id="29"/>
      <w:bookmarkEnd w:id="30"/>
    </w:p>
    <w:p w14:paraId="166A4DF3">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本合同一式</w:t>
      </w:r>
      <w:r>
        <w:rPr>
          <w:rFonts w:hint="eastAsia" w:ascii="仿宋" w:hAnsi="仿宋" w:eastAsia="仿宋" w:cs="仿宋"/>
          <w:bCs/>
          <w:color w:val="000000" w:themeColor="text1"/>
          <w:sz w:val="24"/>
          <w:highlight w:val="none"/>
          <w:u w:val="single"/>
          <w:lang w:val="en-US" w:eastAsia="zh-CN"/>
          <w14:textFill>
            <w14:solidFill>
              <w14:schemeClr w14:val="tx1"/>
            </w14:solidFill>
          </w14:textFill>
        </w:rPr>
        <w:t xml:space="preserve"> 6 </w:t>
      </w:r>
      <w:r>
        <w:rPr>
          <w:rFonts w:hint="eastAsia" w:ascii="仿宋" w:hAnsi="仿宋" w:eastAsia="仿宋" w:cs="仿宋"/>
          <w:bCs/>
          <w:color w:val="000000" w:themeColor="text1"/>
          <w:sz w:val="24"/>
          <w:highlight w:val="none"/>
          <w14:textFill>
            <w14:solidFill>
              <w14:schemeClr w14:val="tx1"/>
            </w14:solidFill>
          </w14:textFill>
        </w:rPr>
        <w:t>份，均具有同等法律效力，发包人执</w:t>
      </w:r>
      <w:r>
        <w:rPr>
          <w:rFonts w:hint="eastAsia" w:ascii="仿宋" w:hAnsi="仿宋" w:eastAsia="仿宋" w:cs="仿宋"/>
          <w:bCs/>
          <w:color w:val="000000" w:themeColor="text1"/>
          <w:sz w:val="24"/>
          <w:highlight w:val="none"/>
          <w:lang w:val="en-US" w:eastAsia="zh-CN"/>
          <w14:textFill>
            <w14:solidFill>
              <w14:schemeClr w14:val="tx1"/>
            </w14:solidFill>
          </w14:textFill>
        </w:rPr>
        <w:t>3</w:t>
      </w:r>
      <w:r>
        <w:rPr>
          <w:rFonts w:hint="eastAsia" w:ascii="仿宋" w:hAnsi="仿宋" w:eastAsia="仿宋" w:cs="仿宋"/>
          <w:bCs/>
          <w:color w:val="000000" w:themeColor="text1"/>
          <w:sz w:val="24"/>
          <w:highlight w:val="none"/>
          <w14:textFill>
            <w14:solidFill>
              <w14:schemeClr w14:val="tx1"/>
            </w14:solidFill>
          </w14:textFill>
        </w:rPr>
        <w:t>份，承包人执</w:t>
      </w:r>
      <w:r>
        <w:rPr>
          <w:rFonts w:hint="eastAsia" w:ascii="仿宋" w:hAnsi="仿宋" w:eastAsia="仿宋" w:cs="仿宋"/>
          <w:bCs/>
          <w:color w:val="000000" w:themeColor="text1"/>
          <w:sz w:val="24"/>
          <w:highlight w:val="none"/>
          <w:lang w:val="en-US" w:eastAsia="zh-CN"/>
          <w14:textFill>
            <w14:solidFill>
              <w14:schemeClr w14:val="tx1"/>
            </w14:solidFill>
          </w14:textFill>
        </w:rPr>
        <w:t>3</w:t>
      </w:r>
      <w:r>
        <w:rPr>
          <w:rFonts w:hint="eastAsia" w:ascii="仿宋" w:hAnsi="仿宋" w:eastAsia="仿宋" w:cs="仿宋"/>
          <w:bCs/>
          <w:color w:val="000000" w:themeColor="text1"/>
          <w:sz w:val="24"/>
          <w:highlight w:val="none"/>
          <w14:textFill>
            <w14:solidFill>
              <w14:schemeClr w14:val="tx1"/>
            </w14:solidFill>
          </w14:textFill>
        </w:rPr>
        <w:t>份。</w:t>
      </w:r>
    </w:p>
    <w:p w14:paraId="2ACDF76E">
      <w:pPr>
        <w:spacing w:line="460" w:lineRule="exact"/>
        <w:rPr>
          <w:rFonts w:hint="eastAsia" w:ascii="仿宋" w:hAnsi="仿宋" w:eastAsia="仿宋" w:cs="仿宋"/>
          <w:bCs/>
          <w:color w:val="000000" w:themeColor="text1"/>
          <w:sz w:val="24"/>
          <w:highlight w:val="none"/>
          <w14:textFill>
            <w14:solidFill>
              <w14:schemeClr w14:val="tx1"/>
            </w14:solidFill>
          </w14:textFill>
        </w:rPr>
      </w:pPr>
    </w:p>
    <w:p w14:paraId="61C5DDD2">
      <w:pPr>
        <w:spacing w:line="460" w:lineRule="exact"/>
        <w:rPr>
          <w:rFonts w:hint="eastAsia" w:ascii="仿宋" w:hAnsi="仿宋" w:eastAsia="仿宋" w:cs="仿宋"/>
          <w:color w:val="000000" w:themeColor="text1"/>
          <w:sz w:val="24"/>
          <w:highlight w:val="none"/>
          <w14:textFill>
            <w14:solidFill>
              <w14:schemeClr w14:val="tx1"/>
            </w14:solidFill>
          </w14:textFill>
        </w:rPr>
      </w:pPr>
    </w:p>
    <w:p w14:paraId="581E2CFA">
      <w:pPr>
        <w:spacing w:line="46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发包人：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承包人：</w:t>
      </w:r>
    </w:p>
    <w:p w14:paraId="0EFC751B">
      <w:pPr>
        <w:spacing w:line="460" w:lineRule="exact"/>
        <w:rPr>
          <w:rFonts w:hint="eastAsia" w:ascii="仿宋" w:hAnsi="仿宋" w:eastAsia="仿宋" w:cs="仿宋"/>
          <w:color w:val="000000" w:themeColor="text1"/>
          <w:sz w:val="24"/>
          <w:highlight w:val="none"/>
          <w:u w:val="single"/>
          <w14:textFill>
            <w14:solidFill>
              <w14:schemeClr w14:val="tx1"/>
            </w14:solidFill>
          </w14:textFill>
        </w:rPr>
      </w:pPr>
    </w:p>
    <w:p w14:paraId="7368BA96">
      <w:pPr>
        <w:spacing w:line="4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法定代表人或其委托代理人：             法定代表人或其委托代理人：</w:t>
      </w:r>
    </w:p>
    <w:p w14:paraId="0649F7DC">
      <w:pPr>
        <w:spacing w:line="460" w:lineRule="exac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                               （签字）</w:t>
      </w:r>
    </w:p>
    <w:p w14:paraId="69D25CDA">
      <w:pPr>
        <w:tabs>
          <w:tab w:val="left" w:pos="4410"/>
        </w:tabs>
        <w:spacing w:line="46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组织机构代码：</w:t>
      </w:r>
      <w:r>
        <w:rPr>
          <w:rFonts w:hint="eastAsia" w:ascii="仿宋" w:hAnsi="仿宋" w:eastAsia="仿宋" w:cs="仿宋"/>
          <w:color w:val="000000" w:themeColor="text1"/>
          <w:sz w:val="24"/>
          <w:highlight w:val="none"/>
          <w:u w:val="single"/>
          <w14:textFill>
            <w14:solidFill>
              <w14:schemeClr w14:val="tx1"/>
            </w14:solidFill>
          </w14:textFill>
        </w:rPr>
        <w:t xml:space="preserve">       </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组织机构代码：</w:t>
      </w:r>
      <w:r>
        <w:rPr>
          <w:rFonts w:hint="eastAsia" w:ascii="仿宋" w:hAnsi="仿宋" w:eastAsia="仿宋" w:cs="仿宋"/>
          <w:color w:val="000000" w:themeColor="text1"/>
          <w:sz w:val="24"/>
          <w:highlight w:val="none"/>
          <w:lang w:val="en-US" w:eastAsia="zh-CN"/>
          <w14:textFill>
            <w14:solidFill>
              <w14:schemeClr w14:val="tx1"/>
            </w14:solidFill>
          </w14:textFill>
        </w:rPr>
        <w:t>91411628MADANLYP34</w:t>
      </w:r>
    </w:p>
    <w:p w14:paraId="2BEAFEEA">
      <w:pPr>
        <w:spacing w:line="460" w:lineRule="exact"/>
        <w:ind w:left="5280" w:hanging="5280" w:hangingChars="2200"/>
        <w:jc w:val="both"/>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w:t>
      </w:r>
      <w:r>
        <w:rPr>
          <w:rFonts w:hint="eastAsia" w:ascii="仿宋" w:hAnsi="仿宋" w:eastAsia="仿宋" w:cs="仿宋"/>
          <w:color w:val="000000" w:themeColor="text1"/>
          <w:sz w:val="24"/>
          <w:highlight w:val="none"/>
          <w:u w:val="single"/>
          <w14:textFill>
            <w14:solidFill>
              <w14:schemeClr w14:val="tx1"/>
            </w14:solidFill>
          </w14:textFill>
        </w:rPr>
        <w:t xml:space="preserve">     </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地  址：</w:t>
      </w:r>
      <w:r>
        <w:rPr>
          <w:rFonts w:hint="eastAsia" w:ascii="仿宋" w:hAnsi="仿宋" w:eastAsia="仿宋" w:cs="仿宋"/>
          <w:color w:val="000000" w:themeColor="text1"/>
          <w:sz w:val="24"/>
          <w:highlight w:val="none"/>
          <w:lang w:val="en-US" w:eastAsia="zh-CN"/>
          <w14:textFill>
            <w14:solidFill>
              <w14:schemeClr w14:val="tx1"/>
            </w14:solidFill>
          </w14:textFill>
        </w:rPr>
        <w:t>安阳市殷都区钢三路北段路东梅园街道办四楼4339室</w:t>
      </w:r>
    </w:p>
    <w:p w14:paraId="25128B04">
      <w:pPr>
        <w:spacing w:line="4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邮政编码：</w:t>
      </w:r>
      <w:r>
        <w:rPr>
          <w:rFonts w:hint="eastAsia" w:ascii="仿宋" w:hAnsi="仿宋" w:eastAsia="仿宋" w:cs="仿宋"/>
          <w:color w:val="000000" w:themeColor="text1"/>
          <w:sz w:val="24"/>
          <w:highlight w:val="none"/>
          <w:u w:val="single"/>
          <w14:textFill>
            <w14:solidFill>
              <w14:schemeClr w14:val="tx1"/>
            </w14:solidFill>
          </w14:textFill>
        </w:rPr>
        <w:t xml:space="preserve">     </w:t>
      </w:r>
      <w:r>
        <w:rPr>
          <w:rFonts w:hint="eastAsia" w:ascii="仿宋" w:hAnsi="仿宋" w:eastAsia="仿宋" w:cs="仿宋"/>
          <w:color w:val="000000" w:themeColor="text1"/>
          <w:sz w:val="24"/>
          <w:highlight w:val="none"/>
          <w14:textFill>
            <w14:solidFill>
              <w14:schemeClr w14:val="tx1"/>
            </w14:solidFill>
          </w14:textFill>
        </w:rPr>
        <w:t xml:space="preserve">            邮政编码：</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61A51A59">
      <w:pPr>
        <w:spacing w:line="4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r>
        <w:rPr>
          <w:rFonts w:hint="eastAsia" w:ascii="仿宋" w:hAnsi="仿宋" w:eastAsia="仿宋" w:cs="仿宋"/>
          <w:color w:val="000000" w:themeColor="text1"/>
          <w:sz w:val="24"/>
          <w:highlight w:val="none"/>
          <w:u w:val="single"/>
          <w14:textFill>
            <w14:solidFill>
              <w14:schemeClr w14:val="tx1"/>
            </w14:solidFill>
          </w14:textFill>
        </w:rPr>
        <w:t xml:space="preserve">           </w:t>
      </w:r>
      <w:r>
        <w:rPr>
          <w:rFonts w:hint="eastAsia" w:ascii="仿宋" w:hAnsi="仿宋" w:eastAsia="仿宋" w:cs="仿宋"/>
          <w:color w:val="000000" w:themeColor="text1"/>
          <w:sz w:val="24"/>
          <w:highlight w:val="none"/>
          <w14:textFill>
            <w14:solidFill>
              <w14:schemeClr w14:val="tx1"/>
            </w14:solidFill>
          </w14:textFill>
        </w:rPr>
        <w:t xml:space="preserve">            法定代表人：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张志远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573C26F9">
      <w:pPr>
        <w:spacing w:line="4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委托代理人：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委托代理人：</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368B4120">
      <w:pPr>
        <w:spacing w:line="4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  话：</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电  话：</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19937905808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4687B92F">
      <w:pPr>
        <w:spacing w:line="4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传  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传  真：</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   </w:t>
      </w:r>
    </w:p>
    <w:p w14:paraId="1E662870">
      <w:pPr>
        <w:spacing w:line="460" w:lineRule="exact"/>
        <w:rPr>
          <w:rFonts w:hint="default"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电子信箱：</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电子信箱：</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730F613E">
      <w:pPr>
        <w:spacing w:line="460" w:lineRule="exact"/>
        <w:ind w:left="6000" w:hanging="6000" w:hangingChars="25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开户银行：</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开户银行：</w:t>
      </w:r>
      <w:r>
        <w:rPr>
          <w:rFonts w:hint="eastAsia" w:ascii="仿宋" w:hAnsi="仿宋" w:eastAsia="仿宋" w:cs="仿宋"/>
          <w:color w:val="000000" w:themeColor="text1"/>
          <w:sz w:val="24"/>
          <w:highlight w:val="none"/>
          <w:lang w:val="en-US" w:eastAsia="zh-CN"/>
          <w14:textFill>
            <w14:solidFill>
              <w14:schemeClr w14:val="tx1"/>
            </w14:solidFill>
          </w14:textFill>
        </w:rPr>
        <w:t>建设银行洛阳偃师支行</w:t>
      </w:r>
    </w:p>
    <w:p w14:paraId="510A27A5">
      <w:pPr>
        <w:spacing w:line="460" w:lineRule="exact"/>
        <w:rPr>
          <w:rFonts w:hint="default"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账  号：</w:t>
      </w:r>
      <w:r>
        <w:rPr>
          <w:rFonts w:hint="eastAsia" w:ascii="仿宋" w:hAnsi="仿宋" w:eastAsia="仿宋" w:cs="仿宋"/>
          <w:color w:val="000000" w:themeColor="text1"/>
          <w:sz w:val="24"/>
          <w:highlight w:val="none"/>
          <w:u w:val="single"/>
          <w14:textFill>
            <w14:solidFill>
              <w14:schemeClr w14:val="tx1"/>
            </w14:solidFill>
          </w14:textFill>
        </w:rPr>
        <w:t xml:space="preserve">       </w:t>
      </w:r>
      <w:r>
        <w:rPr>
          <w:rFonts w:hint="eastAsia" w:ascii="仿宋" w:hAnsi="仿宋" w:eastAsia="仿宋" w:cs="仿宋"/>
          <w:color w:val="000000" w:themeColor="text1"/>
          <w:sz w:val="24"/>
          <w:highlight w:val="none"/>
          <w14:textFill>
            <w14:solidFill>
              <w14:schemeClr w14:val="tx1"/>
            </w14:solidFill>
          </w14:textFill>
        </w:rPr>
        <w:t xml:space="preserve">            账  号</w:t>
      </w:r>
      <w:r>
        <w:rPr>
          <w:rFonts w:hint="eastAsia" w:ascii="仿宋" w:hAnsi="仿宋" w:eastAsia="仿宋" w:cs="仿宋"/>
          <w:color w:val="000000" w:themeColor="text1"/>
          <w:sz w:val="24"/>
          <w:highlight w:val="none"/>
          <w:u w:val="none"/>
          <w:lang w:val="en-US" w:eastAsia="zh-CN"/>
          <w14:textFill>
            <w14:solidFill>
              <w14:schemeClr w14:val="tx1"/>
            </w14:solidFill>
          </w14:textFill>
        </w:rPr>
        <w:t>：41050168670800001366</w:t>
      </w:r>
    </w:p>
    <w:p w14:paraId="2D229110">
      <w:pPr>
        <w:pStyle w:val="3"/>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br w:type="page"/>
      </w:r>
      <w:bookmarkStart w:id="31" w:name="_Toc26415"/>
      <w:bookmarkStart w:id="32" w:name="_Toc23810"/>
      <w:bookmarkStart w:id="33" w:name="_Toc27457"/>
      <w:bookmarkStart w:id="34" w:name="_Toc351203494"/>
      <w:bookmarkStart w:id="35" w:name="_Toc36021958"/>
      <w:bookmarkStart w:id="36" w:name="_Toc18977"/>
      <w:bookmarkStart w:id="37" w:name="_Toc390272729"/>
      <w:r>
        <w:rPr>
          <w:rFonts w:hint="eastAsia" w:ascii="仿宋" w:hAnsi="仿宋" w:eastAsia="仿宋" w:cs="仿宋"/>
          <w:color w:val="000000" w:themeColor="text1"/>
          <w:sz w:val="24"/>
          <w:szCs w:val="24"/>
          <w:highlight w:val="none"/>
          <w14:textFill>
            <w14:solidFill>
              <w14:schemeClr w14:val="tx1"/>
            </w14:solidFill>
          </w14:textFill>
        </w:rPr>
        <w:t>第二部分 通用合同条款</w:t>
      </w:r>
      <w:bookmarkEnd w:id="31"/>
      <w:bookmarkEnd w:id="32"/>
      <w:bookmarkEnd w:id="33"/>
      <w:bookmarkEnd w:id="34"/>
      <w:bookmarkEnd w:id="35"/>
      <w:bookmarkEnd w:id="36"/>
      <w:bookmarkEnd w:id="37"/>
      <w:bookmarkStart w:id="38" w:name="_Toc337558727"/>
    </w:p>
    <w:bookmarkEnd w:id="38"/>
    <w:p w14:paraId="28184EB7">
      <w:pPr>
        <w:rPr>
          <w:rFonts w:hint="eastAsia" w:ascii="仿宋" w:hAnsi="仿宋" w:eastAsia="仿宋" w:cs="仿宋"/>
          <w:b/>
          <w:bCs/>
          <w:color w:val="000000" w:themeColor="text1"/>
          <w:sz w:val="24"/>
          <w:highlight w:val="none"/>
          <w14:textFill>
            <w14:solidFill>
              <w14:schemeClr w14:val="tx1"/>
            </w14:solidFill>
          </w14:textFill>
        </w:rPr>
      </w:pPr>
      <w:bookmarkStart w:id="39" w:name="_Toc351203632"/>
      <w:bookmarkStart w:id="40" w:name="_Toc379995333"/>
      <w:bookmarkStart w:id="41" w:name="_Toc390272730"/>
      <w:bookmarkStart w:id="42" w:name="_Toc428370623"/>
      <w:r>
        <w:rPr>
          <w:rFonts w:hint="eastAsia" w:ascii="仿宋" w:hAnsi="仿宋" w:eastAsia="仿宋" w:cs="仿宋"/>
          <w:b/>
          <w:bCs/>
          <w:color w:val="000000" w:themeColor="text1"/>
          <w:sz w:val="24"/>
          <w:highlight w:val="none"/>
          <w14:textFill>
            <w14:solidFill>
              <w14:schemeClr w14:val="tx1"/>
            </w14:solidFill>
          </w14:textFill>
        </w:rPr>
        <w:t>详见“《建设工程施工合同（示范文本）》（GF-2017-0201）”通用合同条款</w:t>
      </w:r>
    </w:p>
    <w:p w14:paraId="15E3025C">
      <w:pPr>
        <w:pStyle w:val="3"/>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br w:type="page"/>
      </w:r>
      <w:bookmarkEnd w:id="39"/>
      <w:bookmarkEnd w:id="40"/>
      <w:bookmarkEnd w:id="41"/>
      <w:bookmarkEnd w:id="42"/>
      <w:bookmarkStart w:id="43" w:name="_Toc24554"/>
      <w:bookmarkStart w:id="44" w:name="_Toc36021959"/>
      <w:bookmarkStart w:id="45" w:name="_Toc30552"/>
      <w:bookmarkStart w:id="46" w:name="_Toc23555"/>
      <w:bookmarkStart w:id="47" w:name="_Toc14108"/>
      <w:bookmarkStart w:id="48" w:name="_Toc26127"/>
      <w:r>
        <w:rPr>
          <w:rFonts w:hint="eastAsia" w:ascii="仿宋" w:hAnsi="仿宋" w:eastAsia="仿宋" w:cs="仿宋"/>
          <w:color w:val="000000" w:themeColor="text1"/>
          <w:sz w:val="24"/>
          <w:szCs w:val="24"/>
          <w:highlight w:val="none"/>
          <w14:textFill>
            <w14:solidFill>
              <w14:schemeClr w14:val="tx1"/>
            </w14:solidFill>
          </w14:textFill>
        </w:rPr>
        <w:t>第三部分 专用合同条款</w:t>
      </w:r>
      <w:bookmarkEnd w:id="43"/>
      <w:bookmarkEnd w:id="44"/>
      <w:bookmarkEnd w:id="45"/>
      <w:bookmarkEnd w:id="46"/>
      <w:bookmarkEnd w:id="47"/>
      <w:bookmarkEnd w:id="48"/>
    </w:p>
    <w:p w14:paraId="5526C15E">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49" w:name="_Toc13060"/>
      <w:bookmarkStart w:id="50" w:name="_Toc6880"/>
      <w:bookmarkStart w:id="51" w:name="_Toc15137"/>
      <w:bookmarkStart w:id="52" w:name="_Toc36021960"/>
      <w:bookmarkStart w:id="53" w:name="_Toc16854"/>
      <w:r>
        <w:rPr>
          <w:rFonts w:hint="eastAsia" w:ascii="仿宋" w:hAnsi="仿宋" w:eastAsia="仿宋" w:cs="仿宋"/>
          <w:color w:val="000000" w:themeColor="text1"/>
          <w:sz w:val="24"/>
          <w:szCs w:val="24"/>
          <w:highlight w:val="none"/>
          <w14:textFill>
            <w14:solidFill>
              <w14:schemeClr w14:val="tx1"/>
            </w14:solidFill>
          </w14:textFill>
        </w:rPr>
        <w:t>1</w:t>
      </w:r>
      <w:bookmarkStart w:id="54" w:name="_Toc296944495"/>
      <w:bookmarkStart w:id="55" w:name="_Toc296347155"/>
      <w:bookmarkStart w:id="56" w:name="_Toc292559361"/>
      <w:bookmarkStart w:id="57" w:name="_Toc297048342"/>
      <w:bookmarkStart w:id="58" w:name="_Toc296503156"/>
      <w:bookmarkStart w:id="59" w:name="_Toc296891196"/>
      <w:bookmarkStart w:id="60" w:name="_Toc296346657"/>
      <w:bookmarkStart w:id="61" w:name="_Toc292559866"/>
      <w:bookmarkStart w:id="62" w:name="_Toc296890984"/>
      <w:bookmarkStart w:id="63" w:name="_Toc297120456"/>
      <w:r>
        <w:rPr>
          <w:rFonts w:hint="eastAsia" w:ascii="仿宋" w:hAnsi="仿宋" w:eastAsia="仿宋" w:cs="仿宋"/>
          <w:color w:val="000000" w:themeColor="text1"/>
          <w:sz w:val="24"/>
          <w:szCs w:val="24"/>
          <w:highlight w:val="none"/>
          <w14:textFill>
            <w14:solidFill>
              <w14:schemeClr w14:val="tx1"/>
            </w14:solidFill>
          </w14:textFill>
        </w:rPr>
        <w:t>. 一般约定</w:t>
      </w:r>
      <w:bookmarkEnd w:id="49"/>
      <w:bookmarkEnd w:id="50"/>
      <w:bookmarkEnd w:id="51"/>
      <w:bookmarkEnd w:id="52"/>
      <w:bookmarkEnd w:id="53"/>
    </w:p>
    <w:bookmarkEnd w:id="54"/>
    <w:bookmarkEnd w:id="55"/>
    <w:bookmarkEnd w:id="56"/>
    <w:bookmarkEnd w:id="57"/>
    <w:bookmarkEnd w:id="58"/>
    <w:bookmarkEnd w:id="59"/>
    <w:bookmarkEnd w:id="60"/>
    <w:bookmarkEnd w:id="61"/>
    <w:bookmarkEnd w:id="62"/>
    <w:bookmarkEnd w:id="63"/>
    <w:p w14:paraId="30785ED6">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4" w:name="_Toc16728"/>
      <w:r>
        <w:rPr>
          <w:rFonts w:hint="eastAsia" w:ascii="仿宋" w:hAnsi="仿宋" w:eastAsia="仿宋" w:cs="仿宋"/>
          <w:color w:val="000000" w:themeColor="text1"/>
          <w:sz w:val="24"/>
          <w:szCs w:val="24"/>
          <w:highlight w:val="none"/>
          <w14:textFill>
            <w14:solidFill>
              <w14:schemeClr w14:val="tx1"/>
            </w14:solidFill>
          </w14:textFill>
        </w:rPr>
        <w:t>1.1 词语定义</w:t>
      </w:r>
      <w:bookmarkEnd w:id="64"/>
    </w:p>
    <w:p w14:paraId="67A4C628">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1.1.1合同</w:t>
      </w:r>
    </w:p>
    <w:p w14:paraId="523CDBF7">
      <w:pPr>
        <w:spacing w:line="4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1.1.1.10其他合同文件包括：</w:t>
      </w:r>
    </w:p>
    <w:p w14:paraId="62FC9B40">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 合同当事人及其他相关方</w:t>
      </w:r>
    </w:p>
    <w:p w14:paraId="708AC733">
      <w:pPr>
        <w:spacing w:line="460" w:lineRule="exact"/>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1.1.2.4监理人：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中新创达咨询有限公司</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B5406FD">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    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中新创达咨询有限公司</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6D6BF63">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资质类别和等级：</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61959BD">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18603793456</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759E098">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电子信箱：</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2323DFC">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通信地址：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DBDA332">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1.1.2.5 设计人：</w:t>
      </w:r>
    </w:p>
    <w:p w14:paraId="0B9F72C4">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    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河南方正水利工程咨询有限公司</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C9C4ECF">
      <w:pPr>
        <w:spacing w:line="460" w:lineRule="exact"/>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资质类别和等级：</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水利行业专业乙级</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226ADB0">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13700817711</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7C95771">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电子信箱：</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AD8BF00">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通信地址：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457CD15">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 工程和设备</w:t>
      </w:r>
    </w:p>
    <w:p w14:paraId="7F20800D">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1.1.3.7 作为施工现场组成部分的其他场所包括：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临时料场及现场施工人员临时住所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6CB9F7AE">
      <w:pPr>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1.1.3.9 永久占地包括：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不存在永久占地情况</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5B0DD18F">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1.1.3.10 临时占地包括：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临时料场及现场施工人员临时住所</w:t>
      </w:r>
      <w:r>
        <w:rPr>
          <w:rFonts w:hint="eastAsia" w:ascii="仿宋" w:hAnsi="仿宋" w:eastAsia="仿宋" w:cs="仿宋"/>
          <w:color w:val="000000" w:themeColor="text1"/>
          <w:sz w:val="24"/>
          <w:szCs w:val="24"/>
          <w:highlight w:val="none"/>
          <w14:textFill>
            <w14:solidFill>
              <w14:schemeClr w14:val="tx1"/>
            </w14:solidFill>
          </w14:textFill>
        </w:rPr>
        <w:t>。</w:t>
      </w:r>
    </w:p>
    <w:p w14:paraId="29AB3754">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1.3法律 </w:t>
      </w:r>
    </w:p>
    <w:p w14:paraId="15D39EF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适用于合同的其他规范</w:t>
      </w:r>
      <w:r>
        <w:rPr>
          <w:rFonts w:hint="eastAsia" w:ascii="仿宋" w:hAnsi="仿宋" w:eastAsia="仿宋" w:cs="仿宋"/>
          <w:color w:val="000000" w:themeColor="text1"/>
          <w:sz w:val="24"/>
          <w:szCs w:val="24"/>
          <w:highlight w:val="none"/>
          <w:u w:val="none"/>
          <w14:textFill>
            <w14:solidFill>
              <w14:schemeClr w14:val="tx1"/>
            </w14:solidFill>
          </w14:textFill>
        </w:rPr>
        <w:t>性文件：</w:t>
      </w:r>
      <w:r>
        <w:rPr>
          <w:rFonts w:hint="eastAsia" w:ascii="仿宋" w:hAnsi="仿宋" w:eastAsia="仿宋" w:cs="仿宋"/>
          <w:color w:val="000000" w:themeColor="text1"/>
          <w:sz w:val="24"/>
          <w:szCs w:val="24"/>
          <w:highlight w:val="none"/>
          <w:u w:val="single"/>
          <w14:textFill>
            <w14:solidFill>
              <w14:schemeClr w14:val="tx1"/>
            </w14:solidFill>
          </w14:textFill>
        </w:rPr>
        <w:t>需要明示的法律、行政法规；《中华人民共和国建筑法》、《中华人民共和国</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民法典</w:t>
      </w:r>
      <w:r>
        <w:rPr>
          <w:rFonts w:hint="eastAsia" w:ascii="仿宋" w:hAnsi="仿宋" w:eastAsia="仿宋" w:cs="仿宋"/>
          <w:color w:val="000000" w:themeColor="text1"/>
          <w:sz w:val="24"/>
          <w:szCs w:val="24"/>
          <w:highlight w:val="none"/>
          <w:u w:val="single"/>
          <w14:textFill>
            <w14:solidFill>
              <w14:schemeClr w14:val="tx1"/>
            </w14:solidFill>
          </w14:textFill>
        </w:rPr>
        <w:t>》、《建筑市场管理条例》、《建筑工程质量管理条例》及国家、省、市现行有关法规和规范性文件。</w:t>
      </w:r>
    </w:p>
    <w:p w14:paraId="26F06FEC">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 标准和规范</w:t>
      </w:r>
    </w:p>
    <w:p w14:paraId="1EC4AE3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1.4.1适用于工程的标准规范包括：</w:t>
      </w:r>
      <w:bookmarkStart w:id="65" w:name="_Toc25854"/>
      <w:r>
        <w:rPr>
          <w:rFonts w:hint="eastAsia" w:ascii="仿宋" w:hAnsi="仿宋" w:eastAsia="仿宋" w:cs="仿宋"/>
          <w:color w:val="000000" w:themeColor="text1"/>
          <w:sz w:val="24"/>
          <w:szCs w:val="24"/>
          <w:highlight w:val="none"/>
          <w:u w:val="single"/>
          <w14:textFill>
            <w14:solidFill>
              <w14:schemeClr w14:val="tx1"/>
            </w14:solidFill>
          </w14:textFill>
        </w:rPr>
        <w:t>按照施工图纸及图纸说明中要求的标准规范执行，没有标准的按国家、省、市现行有关法规和规范性文件执行。</w:t>
      </w:r>
    </w:p>
    <w:bookmarkEnd w:id="65"/>
    <w:p w14:paraId="4D741D12">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6" w:name="_Toc17274"/>
      <w:r>
        <w:rPr>
          <w:rFonts w:hint="eastAsia" w:ascii="仿宋" w:hAnsi="仿宋" w:eastAsia="仿宋" w:cs="仿宋"/>
          <w:color w:val="000000" w:themeColor="text1"/>
          <w:sz w:val="24"/>
          <w:szCs w:val="24"/>
          <w:highlight w:val="none"/>
          <w14:textFill>
            <w14:solidFill>
              <w14:schemeClr w14:val="tx1"/>
            </w14:solidFill>
          </w14:textFill>
        </w:rPr>
        <w:t>1.5 合同文件的优先顺序</w:t>
      </w:r>
      <w:bookmarkEnd w:id="66"/>
    </w:p>
    <w:p w14:paraId="4B0E1A7C">
      <w:pPr>
        <w:spacing w:line="460" w:lineRule="exact"/>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合同文件组成及优先顺序为：</w:t>
      </w:r>
      <w:bookmarkStart w:id="67" w:name="_Toc31723"/>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71A3149">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 图纸和承包人文件</w:t>
      </w:r>
      <w:bookmarkEnd w:id="67"/>
      <w:r>
        <w:rPr>
          <w:rFonts w:hint="eastAsia" w:ascii="仿宋" w:hAnsi="仿宋" w:eastAsia="仿宋" w:cs="仿宋"/>
          <w:color w:val="000000" w:themeColor="text1"/>
          <w:sz w:val="24"/>
          <w:szCs w:val="24"/>
          <w:highlight w:val="none"/>
          <w14:textFill>
            <w14:solidFill>
              <w14:schemeClr w14:val="tx1"/>
            </w14:solidFill>
          </w14:textFill>
        </w:rPr>
        <w:tab/>
      </w:r>
    </w:p>
    <w:p w14:paraId="3F940BC1">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 图纸的提供</w:t>
      </w:r>
    </w:p>
    <w:p w14:paraId="74B082A4">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发包人向承包人提供图纸的期限：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签订合同之日</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3CEBF9C">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发包人向承包人提供图纸的数量：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2份</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841108C">
      <w:pPr>
        <w:spacing w:line="460" w:lineRule="exact"/>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发包人向承包人提供图纸的内容：</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施工图设计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z w:val="24"/>
          <w:szCs w:val="24"/>
          <w:highlight w:val="none"/>
          <w14:textFill>
            <w14:solidFill>
              <w14:schemeClr w14:val="tx1"/>
            </w14:solidFill>
          </w14:textFill>
        </w:rPr>
        <w:t>。</w:t>
      </w:r>
    </w:p>
    <w:p w14:paraId="30A352D6">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1.6.4 承包人文件</w:t>
      </w:r>
    </w:p>
    <w:p w14:paraId="5FC7611D">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需要由承包人提供的文件，包括：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中标通知书、投标文件、承包人资质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A4EE615">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承包人提供的文件的期限为：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开工前</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3天</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C7F5194">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承包人提供的文件的数量为：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2份</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526C34D">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承包人提供的文件的形式为：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书面文件</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z w:val="24"/>
          <w:szCs w:val="24"/>
          <w:highlight w:val="none"/>
          <w14:textFill>
            <w14:solidFill>
              <w14:schemeClr w14:val="tx1"/>
            </w14:solidFill>
          </w14:textFill>
        </w:rPr>
        <w:t>；</w:t>
      </w:r>
    </w:p>
    <w:p w14:paraId="5944C080">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发包人审批承包人文件的期限：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收到文件后</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3天内</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344B6AF">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1.6.5 现场图纸准备</w:t>
      </w:r>
    </w:p>
    <w:p w14:paraId="5C390484">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关于现场图纸准备的约定：</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签订合同之日由业主单位提供给承包人（乙方）</w:t>
      </w:r>
      <w:r>
        <w:rPr>
          <w:rFonts w:hint="eastAsia" w:ascii="仿宋" w:hAnsi="仿宋" w:eastAsia="仿宋" w:cs="仿宋"/>
          <w:color w:val="000000" w:themeColor="text1"/>
          <w:sz w:val="24"/>
          <w:szCs w:val="24"/>
          <w:highlight w:val="none"/>
          <w14:textFill>
            <w14:solidFill>
              <w14:schemeClr w14:val="tx1"/>
            </w14:solidFill>
          </w14:textFill>
        </w:rPr>
        <w:t>。</w:t>
      </w:r>
    </w:p>
    <w:p w14:paraId="5AF381D7">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8" w:name="_Toc1625"/>
      <w:r>
        <w:rPr>
          <w:rFonts w:hint="eastAsia" w:ascii="仿宋" w:hAnsi="仿宋" w:eastAsia="仿宋" w:cs="仿宋"/>
          <w:color w:val="000000" w:themeColor="text1"/>
          <w:sz w:val="24"/>
          <w:szCs w:val="24"/>
          <w:highlight w:val="none"/>
          <w14:textFill>
            <w14:solidFill>
              <w14:schemeClr w14:val="tx1"/>
            </w14:solidFill>
          </w14:textFill>
        </w:rPr>
        <w:t>1.7 联络</w:t>
      </w:r>
      <w:bookmarkEnd w:id="68"/>
    </w:p>
    <w:p w14:paraId="05DC4147">
      <w:pPr>
        <w:spacing w:line="4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1.7.1发包人和承包人应当在天内将与合同有关的通知、批准、证明、证书、指示、指令、要求、请求、同意、意见、确定和决定等书面函件送达对方当事人。</w:t>
      </w:r>
    </w:p>
    <w:p w14:paraId="4E827E37">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1.7.2 发包人接收文件的地点：</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项目现场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1D20ADB">
      <w:pPr>
        <w:spacing w:line="4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发包人指定的接收人为：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洛阳市偃师区府店镇人民政府主管领导</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1EA7BEB">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承包人接收文件的地点：</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项目现场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2514354">
      <w:pPr>
        <w:spacing w:line="4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承包人指定的接收人为：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项目负责人或委托代理人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953508B">
      <w:pPr>
        <w:spacing w:line="4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监理人接收文件的地点：</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项目现场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BC45464">
      <w:pPr>
        <w:spacing w:line="4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监理人指定的接收人为：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项目监理员</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CAE5390">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9" w:name="_Toc32124"/>
      <w:r>
        <w:rPr>
          <w:rFonts w:hint="eastAsia" w:ascii="仿宋" w:hAnsi="仿宋" w:eastAsia="仿宋" w:cs="仿宋"/>
          <w:color w:val="000000" w:themeColor="text1"/>
          <w:sz w:val="24"/>
          <w:szCs w:val="24"/>
          <w:highlight w:val="none"/>
          <w14:textFill>
            <w14:solidFill>
              <w14:schemeClr w14:val="tx1"/>
            </w14:solidFill>
          </w14:textFill>
        </w:rPr>
        <w:t>1.10 交通运输</w:t>
      </w:r>
      <w:bookmarkEnd w:id="69"/>
    </w:p>
    <w:p w14:paraId="7C442F70">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70" w:name="_Toc32698"/>
      <w:r>
        <w:rPr>
          <w:rFonts w:hint="eastAsia" w:ascii="仿宋" w:hAnsi="仿宋" w:eastAsia="仿宋" w:cs="仿宋"/>
          <w:color w:val="000000" w:themeColor="text1"/>
          <w:sz w:val="24"/>
          <w:szCs w:val="24"/>
          <w:highlight w:val="none"/>
          <w14:textFill>
            <w14:solidFill>
              <w14:schemeClr w14:val="tx1"/>
            </w14:solidFill>
          </w14:textFill>
        </w:rPr>
        <w:t>1</w:t>
      </w:r>
      <w:bookmarkStart w:id="71" w:name="_Toc304295521"/>
      <w:bookmarkStart w:id="72" w:name="_Toc318581155"/>
      <w:bookmarkStart w:id="73" w:name="_Toc312677986"/>
      <w:bookmarkStart w:id="74" w:name="_Toc300934943"/>
      <w:bookmarkStart w:id="75" w:name="_Toc303539100"/>
      <w:r>
        <w:rPr>
          <w:rFonts w:hint="eastAsia" w:ascii="仿宋" w:hAnsi="仿宋" w:eastAsia="仿宋" w:cs="仿宋"/>
          <w:color w:val="000000" w:themeColor="text1"/>
          <w:sz w:val="24"/>
          <w:szCs w:val="24"/>
          <w:highlight w:val="none"/>
          <w14:textFill>
            <w14:solidFill>
              <w14:schemeClr w14:val="tx1"/>
            </w14:solidFill>
          </w14:textFill>
        </w:rPr>
        <w:t>.10.1 出入现场的权利</w:t>
      </w:r>
      <w:bookmarkEnd w:id="70"/>
    </w:p>
    <w:p w14:paraId="7A4CADDA">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关于出入现场的权利的约定：</w:t>
      </w:r>
      <w:bookmarkEnd w:id="71"/>
      <w:bookmarkEnd w:id="72"/>
      <w:bookmarkEnd w:id="73"/>
      <w:bookmarkEnd w:id="74"/>
      <w:bookmarkEnd w:id="75"/>
      <w:bookmarkStart w:id="76" w:name="_Toc318"/>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发包人负责出入施工现场所需的批准手续和全部权利</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304826E">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bookmarkStart w:id="77" w:name="_Toc304295522"/>
      <w:bookmarkStart w:id="78" w:name="_Toc303539101"/>
      <w:bookmarkStart w:id="79" w:name="_Toc318581156"/>
      <w:bookmarkStart w:id="80" w:name="_Toc312677987"/>
      <w:bookmarkStart w:id="81" w:name="_Toc300934944"/>
      <w:r>
        <w:rPr>
          <w:rFonts w:hint="eastAsia" w:ascii="仿宋" w:hAnsi="仿宋" w:eastAsia="仿宋" w:cs="仿宋"/>
          <w:color w:val="000000" w:themeColor="text1"/>
          <w:sz w:val="24"/>
          <w:szCs w:val="24"/>
          <w:highlight w:val="none"/>
          <w14:textFill>
            <w14:solidFill>
              <w14:schemeClr w14:val="tx1"/>
            </w14:solidFill>
          </w14:textFill>
        </w:rPr>
        <w:t>.10.3 场内交通</w:t>
      </w:r>
      <w:bookmarkEnd w:id="76"/>
    </w:p>
    <w:p w14:paraId="0D99EF5A">
      <w:pPr>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关于场外交通和场内交通的边界的约定：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双方协商确定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5C14EF4">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关于发包人向承包人免费提供满足工程施工需要的场内道路和交通设施的约定：</w:t>
      </w:r>
      <w:bookmarkEnd w:id="77"/>
      <w:bookmarkEnd w:id="78"/>
      <w:bookmarkEnd w:id="79"/>
      <w:bookmarkEnd w:id="80"/>
      <w:bookmarkEnd w:id="81"/>
      <w:bookmarkStart w:id="82" w:name="_Toc318581157"/>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以现场施工条件为准</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bookmarkEnd w:id="82"/>
    <w:p w14:paraId="5EA5D817">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83" w:name="_Toc26216"/>
      <w:r>
        <w:rPr>
          <w:rFonts w:hint="eastAsia" w:ascii="仿宋" w:hAnsi="仿宋" w:eastAsia="仿宋" w:cs="仿宋"/>
          <w:color w:val="000000" w:themeColor="text1"/>
          <w:sz w:val="24"/>
          <w:szCs w:val="24"/>
          <w:highlight w:val="none"/>
          <w14:textFill>
            <w14:solidFill>
              <w14:schemeClr w14:val="tx1"/>
            </w14:solidFill>
          </w14:textFill>
        </w:rPr>
        <w:t>1.11 知识产权</w:t>
      </w:r>
      <w:bookmarkEnd w:id="83"/>
    </w:p>
    <w:p w14:paraId="5A176635">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AE6F1C3">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关于发包人提供的上述文件的使用限制的要求：</w:t>
      </w:r>
      <w:bookmarkStart w:id="84" w:name="_Toc12920"/>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B3ADDB9">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1.11.2 关于承包人为实施工程所编制文件的著作权的归属：</w:t>
      </w:r>
      <w:bookmarkEnd w:id="84"/>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AB053C6">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关于承包人提供的上述文件的使用限制的要求：</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85D1A0E">
      <w:pPr>
        <w:spacing w:line="4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bookmarkStart w:id="85" w:name="_Toc29074"/>
      <w:r>
        <w:rPr>
          <w:rFonts w:hint="eastAsia" w:ascii="仿宋" w:hAnsi="仿宋" w:eastAsia="仿宋" w:cs="仿宋"/>
          <w:color w:val="000000" w:themeColor="text1"/>
          <w:sz w:val="24"/>
          <w:szCs w:val="24"/>
          <w:highlight w:val="none"/>
          <w14:textFill>
            <w14:solidFill>
              <w14:schemeClr w14:val="tx1"/>
            </w14:solidFill>
          </w14:textFill>
        </w:rPr>
        <w:t>1.11.4 承包人在施工过程中所采用的专利、专有技术、技术秘密的使用费的承担方式：</w:t>
      </w:r>
      <w:bookmarkEnd w:id="85"/>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A9142C3">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1.13工程量清单错误的修正</w:t>
      </w:r>
    </w:p>
    <w:p w14:paraId="13D61F52">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出现工程量清单错误时，是否调整合同价格：是</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09CE611D">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允许调整合同价格的工程量偏差范围：5%</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00CC73EB">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86" w:name="_Toc28212"/>
      <w:bookmarkStart w:id="87" w:name="_Toc36021961"/>
      <w:bookmarkStart w:id="88" w:name="_Toc18582"/>
      <w:bookmarkStart w:id="89" w:name="_Toc15411"/>
      <w:bookmarkStart w:id="90" w:name="_Toc29250"/>
      <w:r>
        <w:rPr>
          <w:rFonts w:hint="eastAsia" w:ascii="仿宋" w:hAnsi="仿宋" w:eastAsia="仿宋" w:cs="仿宋"/>
          <w:color w:val="000000" w:themeColor="text1"/>
          <w:sz w:val="24"/>
          <w:szCs w:val="24"/>
          <w:highlight w:val="none"/>
          <w14:textFill>
            <w14:solidFill>
              <w14:schemeClr w14:val="tx1"/>
            </w14:solidFill>
          </w14:textFill>
        </w:rPr>
        <w:t>2</w:t>
      </w:r>
      <w:bookmarkStart w:id="91" w:name="_Toc296346658"/>
      <w:bookmarkStart w:id="92" w:name="_Toc296347156"/>
      <w:bookmarkStart w:id="93" w:name="_Toc292559867"/>
      <w:bookmarkStart w:id="94" w:name="_Toc297048343"/>
      <w:bookmarkStart w:id="95" w:name="_Toc297120457"/>
      <w:bookmarkStart w:id="96" w:name="_Toc292559362"/>
      <w:bookmarkStart w:id="97" w:name="_Toc296503157"/>
      <w:bookmarkStart w:id="98" w:name="_Toc296890985"/>
      <w:bookmarkStart w:id="99" w:name="_Toc296944496"/>
      <w:bookmarkStart w:id="100" w:name="_Toc296891197"/>
      <w:r>
        <w:rPr>
          <w:rFonts w:hint="eastAsia" w:ascii="仿宋" w:hAnsi="仿宋" w:eastAsia="仿宋" w:cs="仿宋"/>
          <w:color w:val="000000" w:themeColor="text1"/>
          <w:sz w:val="24"/>
          <w:szCs w:val="24"/>
          <w:highlight w:val="none"/>
          <w14:textFill>
            <w14:solidFill>
              <w14:schemeClr w14:val="tx1"/>
            </w14:solidFill>
          </w14:textFill>
        </w:rPr>
        <w:t>. 发包人</w:t>
      </w:r>
      <w:bookmarkEnd w:id="86"/>
      <w:bookmarkEnd w:id="87"/>
      <w:bookmarkEnd w:id="88"/>
      <w:bookmarkEnd w:id="89"/>
      <w:bookmarkEnd w:id="90"/>
    </w:p>
    <w:bookmarkEnd w:id="91"/>
    <w:bookmarkEnd w:id="92"/>
    <w:bookmarkEnd w:id="93"/>
    <w:bookmarkEnd w:id="94"/>
    <w:bookmarkEnd w:id="95"/>
    <w:bookmarkEnd w:id="96"/>
    <w:bookmarkEnd w:id="97"/>
    <w:bookmarkEnd w:id="98"/>
    <w:bookmarkEnd w:id="99"/>
    <w:bookmarkEnd w:id="100"/>
    <w:p w14:paraId="3B7DD2F7">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01" w:name="_Toc19459"/>
      <w:r>
        <w:rPr>
          <w:rFonts w:hint="eastAsia" w:ascii="仿宋" w:hAnsi="仿宋" w:eastAsia="仿宋" w:cs="仿宋"/>
          <w:color w:val="000000" w:themeColor="text1"/>
          <w:sz w:val="24"/>
          <w:szCs w:val="24"/>
          <w:highlight w:val="none"/>
          <w14:textFill>
            <w14:solidFill>
              <w14:schemeClr w14:val="tx1"/>
            </w14:solidFill>
          </w14:textFill>
        </w:rPr>
        <w:t>2.2 发包人代表</w:t>
      </w:r>
      <w:bookmarkEnd w:id="101"/>
    </w:p>
    <w:p w14:paraId="5BC23EBF">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发包人代表：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C3638C3">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    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2090F2C">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90B0449">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    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4B2C18B">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27B8F7A">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电子信箱：</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0AC74CE">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通信地址：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C05BC84">
      <w:pPr>
        <w:spacing w:line="460" w:lineRule="exact"/>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发包人对发包人代表的授权范围如下：</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代表甲方办理与该项目相关的一切手续和协调相关事宜</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BE70325">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02" w:name="_Toc6146"/>
      <w:r>
        <w:rPr>
          <w:rFonts w:hint="eastAsia" w:ascii="仿宋" w:hAnsi="仿宋" w:eastAsia="仿宋" w:cs="仿宋"/>
          <w:color w:val="000000" w:themeColor="text1"/>
          <w:sz w:val="24"/>
          <w:szCs w:val="24"/>
          <w:highlight w:val="none"/>
          <w14:textFill>
            <w14:solidFill>
              <w14:schemeClr w14:val="tx1"/>
            </w14:solidFill>
          </w14:textFill>
        </w:rPr>
        <w:t>2.4 施工现场、施工条件和基础资料的提供</w:t>
      </w:r>
      <w:bookmarkEnd w:id="102"/>
    </w:p>
    <w:p w14:paraId="44B471B6">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2.4.1 提供施工现场</w:t>
      </w:r>
    </w:p>
    <w:p w14:paraId="349998EB">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关于发包人移交施工现场的期限要求：</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开工前</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3天</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6DDB746">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2.4.2 提供施工条件</w:t>
      </w:r>
    </w:p>
    <w:p w14:paraId="46B0B70D">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关于发包人应负责提供施工所需要的条件，包括：</w:t>
      </w:r>
      <w:bookmarkStart w:id="103" w:name="_Toc8735"/>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有临时料场、具备良好的施工环境以及具备施工所需的用水、用电等条件</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1CBC04F">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 资金来源证明及支付担保</w:t>
      </w:r>
      <w:bookmarkEnd w:id="103"/>
    </w:p>
    <w:p w14:paraId="549E9E3E">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发包人提供资金来源证明的期限要求：</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签订合同之前提供县级批复文件</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5CFEC1B">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发包人是否提供支付担保：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无需提供</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7019103">
      <w:pPr>
        <w:spacing w:line="460" w:lineRule="exact"/>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发包人提供支付担保的形式：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48751A0">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04" w:name="_Toc21890"/>
      <w:bookmarkStart w:id="105" w:name="_Toc36021962"/>
      <w:bookmarkStart w:id="106" w:name="_Toc23718"/>
      <w:bookmarkStart w:id="107" w:name="_Toc1887"/>
      <w:bookmarkStart w:id="108" w:name="_Toc9899"/>
      <w:r>
        <w:rPr>
          <w:rFonts w:hint="eastAsia" w:ascii="仿宋" w:hAnsi="仿宋" w:eastAsia="仿宋" w:cs="仿宋"/>
          <w:color w:val="000000" w:themeColor="text1"/>
          <w:sz w:val="24"/>
          <w:szCs w:val="24"/>
          <w:highlight w:val="none"/>
          <w14:textFill>
            <w14:solidFill>
              <w14:schemeClr w14:val="tx1"/>
            </w14:solidFill>
          </w14:textFill>
        </w:rPr>
        <w:t>3</w:t>
      </w:r>
      <w:bookmarkStart w:id="109" w:name="_Toc292559363"/>
      <w:bookmarkStart w:id="110" w:name="_Toc296347157"/>
      <w:bookmarkStart w:id="111" w:name="_Toc296891198"/>
      <w:bookmarkStart w:id="112" w:name="_Toc296944497"/>
      <w:bookmarkStart w:id="113" w:name="_Toc292559868"/>
      <w:bookmarkStart w:id="114" w:name="_Toc296503158"/>
      <w:bookmarkStart w:id="115" w:name="_Toc297120458"/>
      <w:bookmarkStart w:id="116" w:name="_Toc297048344"/>
      <w:bookmarkStart w:id="117" w:name="_Toc296890986"/>
      <w:bookmarkStart w:id="118" w:name="_Toc296346659"/>
      <w:r>
        <w:rPr>
          <w:rFonts w:hint="eastAsia" w:ascii="仿宋" w:hAnsi="仿宋" w:eastAsia="仿宋" w:cs="仿宋"/>
          <w:color w:val="000000" w:themeColor="text1"/>
          <w:sz w:val="24"/>
          <w:szCs w:val="24"/>
          <w:highlight w:val="none"/>
          <w14:textFill>
            <w14:solidFill>
              <w14:schemeClr w14:val="tx1"/>
            </w14:solidFill>
          </w14:textFill>
        </w:rPr>
        <w:t>. 承包人</w:t>
      </w:r>
      <w:bookmarkEnd w:id="104"/>
      <w:bookmarkEnd w:id="105"/>
      <w:bookmarkEnd w:id="106"/>
      <w:bookmarkEnd w:id="107"/>
      <w:bookmarkEnd w:id="108"/>
    </w:p>
    <w:bookmarkEnd w:id="109"/>
    <w:bookmarkEnd w:id="110"/>
    <w:bookmarkEnd w:id="111"/>
    <w:bookmarkEnd w:id="112"/>
    <w:bookmarkEnd w:id="113"/>
    <w:bookmarkEnd w:id="114"/>
    <w:bookmarkEnd w:id="115"/>
    <w:bookmarkEnd w:id="116"/>
    <w:bookmarkEnd w:id="117"/>
    <w:bookmarkEnd w:id="118"/>
    <w:p w14:paraId="3CC95EBB">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承包人的一般义务</w:t>
      </w:r>
    </w:p>
    <w:p w14:paraId="041BDCF3">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承包人提交的竣工资料的内容：</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按照通用条款执行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18EEF4F">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承包人需要提交的竣工资料套数：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2套</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DF42275">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承包人提交的竣工资料的费用承担：</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承包人（乙方）自行承担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F7A7A38">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承包人提交的竣工资料移交时间：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竣工</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15日内</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2F84073">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承包人提交的竣工资料形式要求：</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纸质材料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A0E20B0">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（10）承包人应履行的其他义务：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与项目实施相关的需要配合及支持的工作</w:t>
      </w:r>
      <w:r>
        <w:rPr>
          <w:rFonts w:hint="eastAsia" w:ascii="仿宋" w:hAnsi="仿宋" w:eastAsia="仿宋" w:cs="仿宋"/>
          <w:color w:val="000000" w:themeColor="text1"/>
          <w:sz w:val="24"/>
          <w:szCs w:val="24"/>
          <w:highlight w:val="none"/>
          <w14:textFill>
            <w14:solidFill>
              <w14:schemeClr w14:val="tx1"/>
            </w14:solidFill>
          </w14:textFill>
        </w:rPr>
        <w:t>。</w:t>
      </w:r>
    </w:p>
    <w:p w14:paraId="2D4A66FB">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项目经理</w:t>
      </w:r>
    </w:p>
    <w:p w14:paraId="4A5FE747">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3.2.1 </w:t>
      </w:r>
      <w:r>
        <w:rPr>
          <w:rFonts w:hint="eastAsia" w:ascii="仿宋" w:hAnsi="仿宋" w:eastAsia="仿宋" w:cs="仿宋"/>
          <w:color w:val="000000" w:themeColor="text1"/>
          <w:sz w:val="24"/>
          <w:szCs w:val="24"/>
          <w:highlight w:val="none"/>
          <w14:textFill>
            <w14:solidFill>
              <w14:schemeClr w14:val="tx1"/>
            </w14:solidFill>
          </w14:textFill>
        </w:rPr>
        <w:t>项目经理：</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罗 珂</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5E34DD6">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    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罗 珂</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79D18DA">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412826198601194624</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0FC14A3">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建造师执业资格等级：</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二级水利水电工程</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740C653">
      <w:pPr>
        <w:spacing w:line="24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建造师注册证书号：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豫241202153662</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3C42013">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建造师执业印章号：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76633C0">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安全生产考核合格证书号：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豫水安B20210000279</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E67FD7A">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19937905808</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C62E028">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电子信箱：</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19937905808@139.com</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7D7F2FA">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通信地址：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787746D">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承包人对项目经理的授权范围如下：</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代表承包人（乙方）负责对本项目进行全面管理，确保项目按照合同约定顺利实施完成</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1ABF518">
      <w:pPr>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关于项目经理每月在施工现场的时间要求：</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每月在现场工作不少于</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22日</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A3D57AE">
      <w:pPr>
        <w:spacing w:line="4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承包人未提交劳动合同，以及没有为项目经理缴纳社会保险证明的违约责任：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由此造成的责任及后果由承包人（乙方）承担</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FAC6EEA">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项目经理未经批准，擅自离开施工现场的违约责任：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按现场管理规定执行</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E58DEB6">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3.2.3 承包人擅自更换项目经理的违约责任：</w:t>
      </w:r>
      <w:bookmarkStart w:id="119" w:name="_Toc10446"/>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由承包人（乙方）承担</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8E4AC52">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3.2.4 承包人无正当理由拒绝更换项目经理的违约责任：</w:t>
      </w:r>
      <w:bookmarkEnd w:id="119"/>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由承包人（乙方）承担</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45C74C9">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 承包人人员</w:t>
      </w:r>
    </w:p>
    <w:p w14:paraId="19A894B2">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3.3.1 承包人提交项目管理机构及施工现场管理人员安排报告的期限：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施工合同签订后，开工之前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DEA8B04">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3.3.3 承包人无正当理由拒绝撤换主要施工管理人员的违约责任：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按照现场管理规定执行</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546DB2E">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3.3.4 承包人主要施工管理人员离开施工现场的批准要求：</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按照现场管理规定执行</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784F9ED">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3.3.5承包人擅自更换主要施工管理人员的违约责任：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按照现场管理规定执行</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FA61B30">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承包人主要施工管理人员擅自离开施工现场的违约责任：</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按照现场管理规定执行</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AE5DAFA">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bookmarkStart w:id="120" w:name="_Toc296944498"/>
      <w:bookmarkStart w:id="121" w:name="_Toc292559869"/>
      <w:bookmarkStart w:id="122" w:name="_Toc297216151"/>
      <w:bookmarkStart w:id="123" w:name="_Toc304295523"/>
      <w:bookmarkStart w:id="124" w:name="_Toc297123492"/>
      <w:bookmarkStart w:id="125" w:name="_Toc296891199"/>
      <w:bookmarkStart w:id="126" w:name="_Toc303539102"/>
      <w:bookmarkStart w:id="127" w:name="_Toc297120459"/>
      <w:bookmarkStart w:id="128" w:name="_Toc292559364"/>
      <w:bookmarkStart w:id="129" w:name="_Toc296346660"/>
      <w:bookmarkStart w:id="130" w:name="_Toc300934945"/>
      <w:bookmarkStart w:id="131" w:name="_Toc296890987"/>
      <w:bookmarkStart w:id="132" w:name="_Toc297048345"/>
      <w:bookmarkStart w:id="133" w:name="_Toc312677988"/>
      <w:bookmarkStart w:id="134" w:name="_Toc296503159"/>
      <w:bookmarkStart w:id="135" w:name="_Toc296347158"/>
      <w:r>
        <w:rPr>
          <w:rFonts w:hint="eastAsia" w:ascii="仿宋" w:hAnsi="仿宋" w:eastAsia="仿宋" w:cs="仿宋"/>
          <w:color w:val="000000" w:themeColor="text1"/>
          <w:sz w:val="24"/>
          <w:szCs w:val="24"/>
          <w:highlight w:val="none"/>
          <w14:textFill>
            <w14:solidFill>
              <w14:schemeClr w14:val="tx1"/>
            </w14:solidFill>
          </w14:textFill>
        </w:rPr>
        <w:t>.5 分包</w:t>
      </w:r>
    </w:p>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14:paraId="7431F9A8">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bookmarkStart w:id="136" w:name="_Toc296347159"/>
      <w:bookmarkStart w:id="137" w:name="_Toc297048346"/>
      <w:bookmarkStart w:id="138" w:name="_Toc292559365"/>
      <w:bookmarkStart w:id="139" w:name="_Toc296944499"/>
      <w:bookmarkStart w:id="140" w:name="_Toc304295524"/>
      <w:bookmarkStart w:id="141" w:name="_Toc297120460"/>
      <w:bookmarkStart w:id="142" w:name="_Toc292559870"/>
      <w:bookmarkStart w:id="143" w:name="_Toc296503160"/>
      <w:bookmarkStart w:id="144" w:name="_Toc296891200"/>
      <w:bookmarkStart w:id="145" w:name="_Toc303539103"/>
      <w:bookmarkStart w:id="146" w:name="_Toc318581158"/>
      <w:bookmarkStart w:id="147" w:name="_Toc297123493"/>
      <w:bookmarkStart w:id="148" w:name="_Toc312677989"/>
      <w:bookmarkStart w:id="149" w:name="_Toc296346661"/>
      <w:bookmarkStart w:id="150" w:name="_Toc300934946"/>
      <w:bookmarkStart w:id="151" w:name="_Toc296890988"/>
      <w:bookmarkStart w:id="152" w:name="_Toc297216152"/>
      <w:r>
        <w:rPr>
          <w:rFonts w:hint="eastAsia" w:ascii="仿宋" w:hAnsi="仿宋" w:eastAsia="仿宋" w:cs="仿宋"/>
          <w:color w:val="000000" w:themeColor="text1"/>
          <w:sz w:val="24"/>
          <w:szCs w:val="24"/>
          <w:highlight w:val="none"/>
          <w14:textFill>
            <w14:solidFill>
              <w14:schemeClr w14:val="tx1"/>
            </w14:solidFill>
          </w14:textFill>
        </w:rPr>
        <w:t>.5.1 分包的一般约定</w:t>
      </w:r>
    </w:p>
    <w:p w14:paraId="043135DB">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禁止分包的工程包括：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全部工程</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14:paraId="29AC0855">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3.6 工程照管与成品、半成品保护</w:t>
      </w:r>
    </w:p>
    <w:p w14:paraId="54479C9C">
      <w:pPr>
        <w:spacing w:line="4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承包人负责照管工程及工程相关的材料、工程设备的起始时间：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从开工至竣工并完成验收</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F7B7352">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3.7 履约担保</w:t>
      </w:r>
    </w:p>
    <w:p w14:paraId="66BBAF56">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承包人是否提供履约担保：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本项目不收取履约担保        </w:t>
      </w:r>
      <w:r>
        <w:rPr>
          <w:rFonts w:hint="eastAsia" w:ascii="仿宋" w:hAnsi="仿宋" w:eastAsia="仿宋" w:cs="仿宋"/>
          <w:color w:val="000000" w:themeColor="text1"/>
          <w:sz w:val="24"/>
          <w:szCs w:val="24"/>
          <w:highlight w:val="none"/>
          <w14:textFill>
            <w14:solidFill>
              <w14:schemeClr w14:val="tx1"/>
            </w14:solidFill>
          </w14:textFill>
        </w:rPr>
        <w:t>。</w:t>
      </w:r>
    </w:p>
    <w:p w14:paraId="030BB630">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承包人提供履约担保的形式、金额及期限的：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FC924AD">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53" w:name="_Toc13690"/>
      <w:bookmarkStart w:id="154" w:name="_Toc36021963"/>
      <w:bookmarkStart w:id="155" w:name="_Toc23368"/>
      <w:bookmarkStart w:id="156" w:name="_Toc25371"/>
      <w:bookmarkStart w:id="157" w:name="_Toc11451"/>
      <w:r>
        <w:rPr>
          <w:rFonts w:hint="eastAsia" w:ascii="仿宋" w:hAnsi="仿宋" w:eastAsia="仿宋" w:cs="仿宋"/>
          <w:color w:val="000000" w:themeColor="text1"/>
          <w:sz w:val="24"/>
          <w:szCs w:val="24"/>
          <w:highlight w:val="none"/>
          <w14:textFill>
            <w14:solidFill>
              <w14:schemeClr w14:val="tx1"/>
            </w14:solidFill>
          </w14:textFill>
        </w:rPr>
        <w:t>4</w:t>
      </w:r>
      <w:bookmarkStart w:id="158" w:name="_Toc292559366"/>
      <w:bookmarkStart w:id="159" w:name="_Toc297048348"/>
      <w:bookmarkStart w:id="160" w:name="_Toc296891202"/>
      <w:bookmarkStart w:id="161" w:name="_Toc296346663"/>
      <w:bookmarkStart w:id="162" w:name="_Toc296503162"/>
      <w:bookmarkStart w:id="163" w:name="_Toc296347161"/>
      <w:bookmarkStart w:id="164" w:name="_Toc297120462"/>
      <w:bookmarkStart w:id="165" w:name="_Toc296944501"/>
      <w:bookmarkStart w:id="166" w:name="_Toc296890990"/>
      <w:bookmarkStart w:id="167" w:name="_Toc267251413"/>
      <w:bookmarkStart w:id="168" w:name="_Toc292559871"/>
      <w:r>
        <w:rPr>
          <w:rFonts w:hint="eastAsia" w:ascii="仿宋" w:hAnsi="仿宋" w:eastAsia="仿宋" w:cs="仿宋"/>
          <w:color w:val="000000" w:themeColor="text1"/>
          <w:sz w:val="24"/>
          <w:szCs w:val="24"/>
          <w:highlight w:val="none"/>
          <w14:textFill>
            <w14:solidFill>
              <w14:schemeClr w14:val="tx1"/>
            </w14:solidFill>
          </w14:textFill>
        </w:rPr>
        <w:t>. 监</w:t>
      </w:r>
      <w:bookmarkEnd w:id="158"/>
      <w:bookmarkEnd w:id="159"/>
      <w:bookmarkEnd w:id="160"/>
      <w:bookmarkEnd w:id="161"/>
      <w:bookmarkEnd w:id="162"/>
      <w:bookmarkEnd w:id="163"/>
      <w:bookmarkEnd w:id="164"/>
      <w:bookmarkEnd w:id="165"/>
      <w:bookmarkEnd w:id="166"/>
      <w:bookmarkEnd w:id="167"/>
      <w:bookmarkEnd w:id="168"/>
      <w:r>
        <w:rPr>
          <w:rFonts w:hint="eastAsia" w:ascii="仿宋" w:hAnsi="仿宋" w:eastAsia="仿宋" w:cs="仿宋"/>
          <w:color w:val="000000" w:themeColor="text1"/>
          <w:sz w:val="24"/>
          <w:szCs w:val="24"/>
          <w:highlight w:val="none"/>
          <w14:textFill>
            <w14:solidFill>
              <w14:schemeClr w14:val="tx1"/>
            </w14:solidFill>
          </w14:textFill>
        </w:rPr>
        <w:t>理人</w:t>
      </w:r>
      <w:bookmarkEnd w:id="153"/>
      <w:bookmarkEnd w:id="154"/>
      <w:bookmarkEnd w:id="155"/>
      <w:bookmarkEnd w:id="156"/>
      <w:bookmarkEnd w:id="157"/>
    </w:p>
    <w:p w14:paraId="34F32836">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4.1监理人的一般规定</w:t>
      </w:r>
    </w:p>
    <w:p w14:paraId="374CBA8E">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关于监理人的监理内容：</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详见监理合同</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68C51E0">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关于监理人的监理权限：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详见监理合同</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A05A75A">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关于监理人在施工现场的办公场所、生活场所的提供和费用承担的约定：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详见监理合同</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7BAB171">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 监理人员</w:t>
      </w:r>
    </w:p>
    <w:p w14:paraId="41614D63">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总监理工程师：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杭东升</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12E6517">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    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杭东升</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2CBF030">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    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总 监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B7E59BB">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监理工程师执业资格证书号：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4DD77D9">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18603793456</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F36B14C">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电子信箱：</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E8242E4">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通信地址：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F2FE708">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关于监理人的其他约定：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9319A7A">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69" w:name="_Toc267251418"/>
      <w:bookmarkStart w:id="170" w:name="_Toc16000"/>
      <w:bookmarkStart w:id="171" w:name="_Toc36021964"/>
      <w:bookmarkStart w:id="172" w:name="_Toc7960"/>
      <w:bookmarkStart w:id="173" w:name="_Toc987"/>
      <w:bookmarkStart w:id="174" w:name="_Toc26146"/>
      <w:r>
        <w:rPr>
          <w:rFonts w:hint="eastAsia" w:ascii="仿宋" w:hAnsi="仿宋" w:eastAsia="仿宋" w:cs="仿宋"/>
          <w:color w:val="000000" w:themeColor="text1"/>
          <w:sz w:val="24"/>
          <w:szCs w:val="24"/>
          <w:highlight w:val="none"/>
          <w14:textFill>
            <w14:solidFill>
              <w14:schemeClr w14:val="tx1"/>
            </w14:solidFill>
          </w14:textFill>
        </w:rPr>
        <w:t>5</w:t>
      </w:r>
      <w:bookmarkEnd w:id="169"/>
      <w:bookmarkStart w:id="175" w:name="_Toc296890991"/>
      <w:bookmarkStart w:id="176" w:name="_Toc292559367"/>
      <w:bookmarkStart w:id="177" w:name="_Toc297048349"/>
      <w:bookmarkStart w:id="178" w:name="_Toc296944502"/>
      <w:bookmarkStart w:id="179" w:name="_Toc296346664"/>
      <w:bookmarkStart w:id="180" w:name="_Toc296347162"/>
      <w:bookmarkStart w:id="181" w:name="_Toc296891203"/>
      <w:bookmarkStart w:id="182" w:name="_Toc296503163"/>
      <w:bookmarkStart w:id="183" w:name="_Toc292559872"/>
      <w:bookmarkStart w:id="184" w:name="_Toc297120463"/>
      <w:r>
        <w:rPr>
          <w:rFonts w:hint="eastAsia" w:ascii="仿宋" w:hAnsi="仿宋" w:eastAsia="仿宋" w:cs="仿宋"/>
          <w:color w:val="000000" w:themeColor="text1"/>
          <w:sz w:val="24"/>
          <w:szCs w:val="24"/>
          <w:highlight w:val="none"/>
          <w14:textFill>
            <w14:solidFill>
              <w14:schemeClr w14:val="tx1"/>
            </w14:solidFill>
          </w14:textFill>
        </w:rPr>
        <w:t>. 工程质量</w:t>
      </w:r>
      <w:bookmarkEnd w:id="170"/>
      <w:bookmarkEnd w:id="171"/>
      <w:bookmarkEnd w:id="172"/>
      <w:bookmarkEnd w:id="173"/>
      <w:bookmarkEnd w:id="174"/>
    </w:p>
    <w:p w14:paraId="49372623">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85" w:name="_Toc29843"/>
      <w:r>
        <w:rPr>
          <w:rFonts w:hint="eastAsia" w:ascii="仿宋" w:hAnsi="仿宋" w:eastAsia="仿宋" w:cs="仿宋"/>
          <w:color w:val="000000" w:themeColor="text1"/>
          <w:sz w:val="24"/>
          <w:szCs w:val="24"/>
          <w:highlight w:val="none"/>
          <w14:textFill>
            <w14:solidFill>
              <w14:schemeClr w14:val="tx1"/>
            </w14:solidFill>
          </w14:textFill>
        </w:rPr>
        <w:t>5.1 质量要求</w:t>
      </w:r>
      <w:bookmarkEnd w:id="185"/>
    </w:p>
    <w:p w14:paraId="33BF1B6F">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bookmarkStart w:id="186" w:name="_Toc304295527"/>
      <w:bookmarkStart w:id="187" w:name="_Toc312677997"/>
      <w:bookmarkStart w:id="188" w:name="_Toc300934949"/>
      <w:bookmarkStart w:id="189" w:name="_Toc303539106"/>
      <w:bookmarkStart w:id="190" w:name="_Toc318581164"/>
      <w:bookmarkStart w:id="191" w:name="_Toc297123496"/>
      <w:bookmarkStart w:id="192" w:name="_Toc297216155"/>
      <w:r>
        <w:rPr>
          <w:rFonts w:hint="eastAsia" w:ascii="仿宋" w:hAnsi="仿宋" w:eastAsia="仿宋" w:cs="仿宋"/>
          <w:color w:val="000000" w:themeColor="text1"/>
          <w:sz w:val="24"/>
          <w:szCs w:val="24"/>
          <w:highlight w:val="none"/>
          <w14:textFill>
            <w14:solidFill>
              <w14:schemeClr w14:val="tx1"/>
            </w14:solidFill>
          </w14:textFill>
        </w:rPr>
        <w:t>.1.1 特殊质量标准和要求：</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需严格按照设计标准施工并高标准完成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925B050">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93" w:name="_Toc32234"/>
      <w:r>
        <w:rPr>
          <w:rFonts w:hint="eastAsia" w:ascii="仿宋" w:hAnsi="仿宋" w:eastAsia="仿宋" w:cs="仿宋"/>
          <w:color w:val="000000" w:themeColor="text1"/>
          <w:sz w:val="24"/>
          <w:szCs w:val="24"/>
          <w:highlight w:val="none"/>
          <w14:textFill>
            <w14:solidFill>
              <w14:schemeClr w14:val="tx1"/>
            </w14:solidFill>
          </w14:textFill>
        </w:rPr>
        <w:t>5.3 隐蔽工程检查</w:t>
      </w:r>
      <w:bookmarkEnd w:id="193"/>
    </w:p>
    <w:p w14:paraId="42F218BF">
      <w:pPr>
        <w:autoSpaceDE w:val="0"/>
        <w:autoSpaceDN w:val="0"/>
        <w:adjustRightInd w:val="0"/>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5.3.2承包人提前通知监理人隐蔽工程检查的期限的约定：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901AB5A">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监理人不能按时进行检查时，应提前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小时提交书面延期要求。</w:t>
      </w:r>
    </w:p>
    <w:p w14:paraId="6AD7369C">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关于延期最长不得超过：</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小时。</w:t>
      </w:r>
    </w:p>
    <w:p w14:paraId="1A306927">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94" w:name="_Toc18608"/>
      <w:bookmarkStart w:id="195" w:name="_Toc22050"/>
      <w:bookmarkStart w:id="196" w:name="_Toc36021965"/>
      <w:bookmarkStart w:id="197" w:name="_Toc9647"/>
      <w:bookmarkStart w:id="198" w:name="_Toc26934"/>
      <w:r>
        <w:rPr>
          <w:rFonts w:hint="eastAsia" w:ascii="仿宋" w:hAnsi="仿宋" w:eastAsia="仿宋" w:cs="仿宋"/>
          <w:color w:val="000000" w:themeColor="text1"/>
          <w:sz w:val="24"/>
          <w:szCs w:val="24"/>
          <w:highlight w:val="none"/>
          <w14:textFill>
            <w14:solidFill>
              <w14:schemeClr w14:val="tx1"/>
            </w14:solidFill>
          </w14:textFill>
        </w:rPr>
        <w:t>6. 安全文明施工与环境保护</w:t>
      </w:r>
      <w:bookmarkEnd w:id="194"/>
      <w:bookmarkEnd w:id="195"/>
      <w:bookmarkEnd w:id="196"/>
      <w:bookmarkEnd w:id="197"/>
      <w:bookmarkEnd w:id="198"/>
    </w:p>
    <w:p w14:paraId="638C87F6">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6.1安全文明施工</w:t>
      </w:r>
    </w:p>
    <w:p w14:paraId="12933EDA">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6.1.1 项目安全生产的达标目标及相应事项的约定：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加强安全生产教育和施工安全管理，以零事故、零伤亡为目标 ，若施工期间出现安全事故，责任由乙方承担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E98403C">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6.1.4 关于治安保卫的特别约定：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施工期间承包人（乙方）自行负责人员及设备、机械、车辆、料物等的安全管理 ，对管理不当造成的损失自行承担</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33CC4E0">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关于编制施工场地治安管理计划的约定：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承包人（施工方）在项目开工时制定完成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A708D14">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6.1.5 文明施工</w:t>
      </w:r>
    </w:p>
    <w:p w14:paraId="58108185">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合同当事人对文明施工的要求：</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科学施工、文明施工，开展安全施工、文明施工教育，施工人员确保规范施工、规范操作施工设备及车辆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C12CECC">
      <w:pPr>
        <w:autoSpaceDE w:val="0"/>
        <w:autoSpaceDN w:val="0"/>
        <w:adjustRightInd w:val="0"/>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6.1.6 关于安全文明施工费支付比例和支付期限的约定：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由施工方自行承担</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bookmarkEnd w:id="186"/>
    <w:bookmarkEnd w:id="187"/>
    <w:bookmarkEnd w:id="188"/>
    <w:bookmarkEnd w:id="189"/>
    <w:bookmarkEnd w:id="190"/>
    <w:bookmarkEnd w:id="191"/>
    <w:bookmarkEnd w:id="192"/>
    <w:p w14:paraId="223611E5">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99" w:name="_Toc19296"/>
      <w:bookmarkStart w:id="200" w:name="_Toc36021966"/>
      <w:bookmarkStart w:id="201" w:name="_Toc19442"/>
      <w:bookmarkStart w:id="202" w:name="_Toc10667"/>
      <w:bookmarkStart w:id="203" w:name="_Toc31781"/>
      <w:r>
        <w:rPr>
          <w:rFonts w:hint="eastAsia" w:ascii="仿宋" w:hAnsi="仿宋" w:eastAsia="仿宋" w:cs="仿宋"/>
          <w:color w:val="000000" w:themeColor="text1"/>
          <w:sz w:val="24"/>
          <w:szCs w:val="24"/>
          <w:highlight w:val="none"/>
          <w14:textFill>
            <w14:solidFill>
              <w14:schemeClr w14:val="tx1"/>
            </w14:solidFill>
          </w14:textFill>
        </w:rPr>
        <w:t>7. 工期和进度</w:t>
      </w:r>
      <w:bookmarkEnd w:id="199"/>
      <w:bookmarkEnd w:id="200"/>
      <w:bookmarkEnd w:id="201"/>
      <w:bookmarkEnd w:id="202"/>
      <w:bookmarkEnd w:id="203"/>
    </w:p>
    <w:p w14:paraId="37E3B661">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 施工组织设计</w:t>
      </w:r>
    </w:p>
    <w:p w14:paraId="6BEAE4A9">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7.1.1 合</w:t>
      </w:r>
      <w:r>
        <w:rPr>
          <w:rFonts w:hint="eastAsia" w:ascii="仿宋" w:hAnsi="仿宋" w:eastAsia="仿宋" w:cs="仿宋"/>
          <w:color w:val="000000" w:themeColor="text1"/>
          <w:kern w:val="0"/>
          <w:sz w:val="24"/>
          <w:szCs w:val="24"/>
          <w:highlight w:val="none"/>
          <w14:textFill>
            <w14:solidFill>
              <w14:schemeClr w14:val="tx1"/>
            </w14:solidFill>
          </w14:textFill>
        </w:rPr>
        <w:t>同当事人约定的施工组织设计应包括的其他内容：</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按照合同约定，由施工单位组织</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18CF4EE">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7.1.2</w:t>
      </w:r>
      <w:r>
        <w:rPr>
          <w:rFonts w:hint="eastAsia" w:ascii="仿宋" w:hAnsi="仿宋" w:eastAsia="仿宋" w:cs="仿宋"/>
          <w:color w:val="000000" w:themeColor="text1"/>
          <w:kern w:val="0"/>
          <w:sz w:val="24"/>
          <w:szCs w:val="24"/>
          <w:highlight w:val="none"/>
          <w14:textFill>
            <w14:solidFill>
              <w14:schemeClr w14:val="tx1"/>
            </w14:solidFill>
          </w14:textFill>
        </w:rPr>
        <w:t>施工组织设计的提交和修改</w:t>
      </w:r>
    </w:p>
    <w:p w14:paraId="32679BF9">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承包人提交详细施工组织设计的期限的约定：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接到相关资料</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5日</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04433BE">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发包人和监理人在收到详细的施工组织设计后确认或提出修改意见的期限：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接到相关资料</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5日</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3C8D604">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bookmarkStart w:id="204" w:name="_Toc303539123"/>
      <w:bookmarkStart w:id="205" w:name="_Toc304295541"/>
      <w:bookmarkStart w:id="206" w:name="_Toc312678005"/>
      <w:bookmarkStart w:id="207" w:name="_Toc312677479"/>
      <w:bookmarkStart w:id="208" w:name="_Toc297216173"/>
      <w:bookmarkStart w:id="209" w:name="_Toc297123514"/>
      <w:bookmarkStart w:id="210" w:name="_Toc300934966"/>
      <w:r>
        <w:rPr>
          <w:rFonts w:hint="eastAsia" w:ascii="仿宋" w:hAnsi="仿宋" w:eastAsia="仿宋" w:cs="仿宋"/>
          <w:color w:val="000000" w:themeColor="text1"/>
          <w:sz w:val="24"/>
          <w:szCs w:val="24"/>
          <w:highlight w:val="none"/>
          <w14:textFill>
            <w14:solidFill>
              <w14:schemeClr w14:val="tx1"/>
            </w14:solidFill>
          </w14:textFill>
        </w:rPr>
        <w:t>.2 施工进度计划</w:t>
      </w:r>
    </w:p>
    <w:p w14:paraId="2A753514">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7.2.2 施工进度计划的修订</w:t>
      </w:r>
    </w:p>
    <w:p w14:paraId="43E0FA0A">
      <w:pPr>
        <w:autoSpaceDE w:val="0"/>
        <w:autoSpaceDN w:val="0"/>
        <w:adjustRightInd w:val="0"/>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发包人和监理人在收到修订的施工进度计划后确认或提出修改意见的期限：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接到相关资料</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5日</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2D1AC24">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7.3 开工</w:t>
      </w:r>
    </w:p>
    <w:p w14:paraId="748F4C47">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7.3.1 开工准备</w:t>
      </w:r>
    </w:p>
    <w:p w14:paraId="491905B5">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关于承包人提交</w:t>
      </w:r>
      <w:r>
        <w:rPr>
          <w:rFonts w:hint="eastAsia" w:ascii="仿宋" w:hAnsi="仿宋" w:eastAsia="仿宋" w:cs="仿宋"/>
          <w:color w:val="000000" w:themeColor="text1"/>
          <w:kern w:val="0"/>
          <w:sz w:val="24"/>
          <w:szCs w:val="24"/>
          <w:highlight w:val="none"/>
          <w14:textFill>
            <w14:solidFill>
              <w14:schemeClr w14:val="tx1"/>
            </w14:solidFill>
          </w14:textFill>
        </w:rPr>
        <w:t>工程开工报审表的期限：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开工前</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天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91EB400">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关于发包人应完成的其他开工准备工作及期限：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开工前</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天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014D5DF">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关于承包人应完成的其他开工准备工作及期限：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开工前</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天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AFEE499">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7.3.2开工通知</w:t>
      </w:r>
    </w:p>
    <w:p w14:paraId="1E1D572C">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因发包人原因造成监理人未能在计划开工日期之日起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天内发出开工通知的，承包人有权提出价格调整要求，或者解除合同。</w:t>
      </w:r>
    </w:p>
    <w:bookmarkEnd w:id="204"/>
    <w:bookmarkEnd w:id="205"/>
    <w:bookmarkEnd w:id="206"/>
    <w:bookmarkEnd w:id="207"/>
    <w:bookmarkEnd w:id="208"/>
    <w:bookmarkEnd w:id="209"/>
    <w:bookmarkEnd w:id="210"/>
    <w:p w14:paraId="406DF258">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7.4 测量放线</w:t>
      </w:r>
    </w:p>
    <w:p w14:paraId="5D86727A">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7.4.1发包人通过监理人向承包人提供测量基准点、基准线和水准点及其书面资料的期限：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开工前</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天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04839DF">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bookmarkStart w:id="211" w:name="_Toc300934968"/>
      <w:bookmarkStart w:id="212" w:name="_Toc297216175"/>
      <w:bookmarkStart w:id="213" w:name="_Toc297123516"/>
      <w:bookmarkStart w:id="214" w:name="_Toc312678010"/>
      <w:bookmarkStart w:id="215" w:name="_Toc304295546"/>
      <w:bookmarkStart w:id="216" w:name="_Toc312677484"/>
      <w:bookmarkStart w:id="217" w:name="_Toc303539125"/>
      <w:r>
        <w:rPr>
          <w:rFonts w:hint="eastAsia" w:ascii="仿宋" w:hAnsi="仿宋" w:eastAsia="仿宋" w:cs="仿宋"/>
          <w:color w:val="000000" w:themeColor="text1"/>
          <w:sz w:val="24"/>
          <w:szCs w:val="24"/>
          <w:highlight w:val="none"/>
          <w14:textFill>
            <w14:solidFill>
              <w14:schemeClr w14:val="tx1"/>
            </w14:solidFill>
          </w14:textFill>
        </w:rPr>
        <w:t>.5 工期延误</w:t>
      </w:r>
    </w:p>
    <w:bookmarkEnd w:id="211"/>
    <w:bookmarkEnd w:id="212"/>
    <w:bookmarkEnd w:id="213"/>
    <w:bookmarkEnd w:id="214"/>
    <w:bookmarkEnd w:id="215"/>
    <w:bookmarkEnd w:id="216"/>
    <w:bookmarkEnd w:id="217"/>
    <w:p w14:paraId="5CAED2F3">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7.5.1 因发包人原因导致工期延误</w:t>
      </w:r>
    </w:p>
    <w:p w14:paraId="419F1D74">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（7）因发包人原因导致工期延误的其他情形：</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因政府政策或计划调整导致停工造成工期延误，工期顺延</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FD24935">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bookmarkStart w:id="218" w:name="_Toc312678012"/>
      <w:bookmarkStart w:id="219" w:name="_Toc312677486"/>
      <w:bookmarkStart w:id="220" w:name="_Toc318581169"/>
      <w:bookmarkStart w:id="221" w:name="_Toc297123518"/>
      <w:bookmarkStart w:id="222" w:name="_Toc304295548"/>
      <w:bookmarkStart w:id="223" w:name="_Toc303539127"/>
      <w:bookmarkStart w:id="224" w:name="_Toc300934970"/>
      <w:bookmarkStart w:id="225" w:name="_Toc297216177"/>
      <w:r>
        <w:rPr>
          <w:rFonts w:hint="eastAsia" w:ascii="仿宋" w:hAnsi="仿宋" w:eastAsia="仿宋" w:cs="仿宋"/>
          <w:color w:val="000000" w:themeColor="text1"/>
          <w:sz w:val="24"/>
          <w:szCs w:val="24"/>
          <w:highlight w:val="none"/>
          <w14:textFill>
            <w14:solidFill>
              <w14:schemeClr w14:val="tx1"/>
            </w14:solidFill>
          </w14:textFill>
        </w:rPr>
        <w:t>.5.2 因承包人原因导致工期延误</w:t>
      </w:r>
    </w:p>
    <w:bookmarkEnd w:id="218"/>
    <w:bookmarkEnd w:id="219"/>
    <w:bookmarkEnd w:id="220"/>
    <w:p w14:paraId="29D68CE1">
      <w:pPr>
        <w:autoSpaceDE w:val="0"/>
        <w:autoSpaceDN w:val="0"/>
        <w:adjustRightInd w:val="0"/>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w:t>
      </w:r>
      <w:bookmarkStart w:id="226" w:name="_Toc312678013"/>
      <w:bookmarkStart w:id="227" w:name="_Toc312677487"/>
      <w:bookmarkStart w:id="228" w:name="_Toc318581170"/>
      <w:r>
        <w:rPr>
          <w:rFonts w:hint="eastAsia" w:ascii="仿宋" w:hAnsi="仿宋" w:eastAsia="仿宋" w:cs="仿宋"/>
          <w:color w:val="000000" w:themeColor="text1"/>
          <w:sz w:val="24"/>
          <w:szCs w:val="24"/>
          <w:highlight w:val="none"/>
          <w14:textFill>
            <w14:solidFill>
              <w14:schemeClr w14:val="tx1"/>
            </w14:solidFill>
          </w14:textFill>
        </w:rPr>
        <w:t>承包人原因造成工期延误，逾期竣工违约金的计算方法为：</w:t>
      </w:r>
      <w:bookmarkEnd w:id="221"/>
      <w:bookmarkEnd w:id="222"/>
      <w:bookmarkEnd w:id="223"/>
      <w:bookmarkEnd w:id="224"/>
      <w:bookmarkEnd w:id="225"/>
      <w:bookmarkEnd w:id="226"/>
      <w:bookmarkEnd w:id="227"/>
      <w:bookmarkEnd w:id="228"/>
      <w:bookmarkStart w:id="229" w:name="_Toc318581171"/>
      <w:bookmarkStart w:id="230" w:name="_Toc312678014"/>
    </w:p>
    <w:p w14:paraId="7A05920B">
      <w:pPr>
        <w:autoSpaceDE w:val="0"/>
        <w:autoSpaceDN w:val="0"/>
        <w:adjustRightInd w:val="0"/>
        <w:spacing w:line="4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因承包人原因造成工期延误，逾期竣工违约金的计算方法为：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每逾期一天</w:t>
      </w:r>
      <w:r>
        <w:rPr>
          <w:rFonts w:hint="eastAsia" w:ascii="仿宋" w:hAnsi="仿宋" w:eastAsia="仿宋" w:cs="仿宋"/>
          <w:color w:val="auto"/>
          <w:sz w:val="24"/>
          <w:szCs w:val="24"/>
          <w:highlight w:val="none"/>
          <w:u w:val="single"/>
          <w:lang w:val="en-US" w:eastAsia="zh-CN"/>
        </w:rPr>
        <w:t>承担违约金500元</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rPr>
        <w:t>。</w:t>
      </w:r>
    </w:p>
    <w:p w14:paraId="69B9BD81">
      <w:pPr>
        <w:autoSpaceDE w:val="0"/>
        <w:autoSpaceDN w:val="0"/>
        <w:adjustRightIn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因承包人原因造成工期延误，逾期竣工违约金的上限：</w:t>
      </w:r>
      <w:r>
        <w:rPr>
          <w:rFonts w:hint="eastAsia" w:ascii="仿宋" w:hAnsi="仿宋" w:eastAsia="仿宋" w:cs="仿宋"/>
          <w:color w:val="auto"/>
          <w:sz w:val="24"/>
          <w:szCs w:val="24"/>
          <w:highlight w:val="none"/>
          <w:u w:val="single"/>
          <w:lang w:val="en-US" w:eastAsia="zh-CN"/>
        </w:rPr>
        <w:t>直至竣工之日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229"/>
    <w:bookmarkEnd w:id="230"/>
    <w:p w14:paraId="39CFA406">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231" w:name="_Toc28731"/>
      <w:bookmarkStart w:id="232" w:name="_Toc8134"/>
      <w:bookmarkStart w:id="233" w:name="_Toc17513"/>
      <w:bookmarkStart w:id="234" w:name="_Toc36021967"/>
      <w:bookmarkStart w:id="235" w:name="_Toc13913"/>
      <w:r>
        <w:rPr>
          <w:rFonts w:hint="eastAsia" w:ascii="仿宋" w:hAnsi="仿宋" w:eastAsia="仿宋" w:cs="仿宋"/>
          <w:color w:val="000000" w:themeColor="text1"/>
          <w:sz w:val="24"/>
          <w:szCs w:val="24"/>
          <w:highlight w:val="none"/>
          <w14:textFill>
            <w14:solidFill>
              <w14:schemeClr w14:val="tx1"/>
            </w14:solidFill>
          </w14:textFill>
        </w:rPr>
        <w:t>8. 材料与设备</w:t>
      </w:r>
      <w:bookmarkEnd w:id="231"/>
      <w:bookmarkEnd w:id="232"/>
      <w:bookmarkEnd w:id="233"/>
      <w:bookmarkEnd w:id="234"/>
      <w:bookmarkEnd w:id="235"/>
    </w:p>
    <w:bookmarkEnd w:id="175"/>
    <w:bookmarkEnd w:id="176"/>
    <w:bookmarkEnd w:id="177"/>
    <w:bookmarkEnd w:id="178"/>
    <w:bookmarkEnd w:id="179"/>
    <w:bookmarkEnd w:id="180"/>
    <w:bookmarkEnd w:id="181"/>
    <w:bookmarkEnd w:id="182"/>
    <w:bookmarkEnd w:id="183"/>
    <w:bookmarkEnd w:id="184"/>
    <w:p w14:paraId="3ABF2812">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bookmarkStart w:id="236" w:name="_Toc312678019"/>
      <w:bookmarkStart w:id="237" w:name="_Toc304295556"/>
      <w:bookmarkStart w:id="238" w:name="_Toc296503167"/>
      <w:bookmarkStart w:id="239" w:name="_Toc296347166"/>
      <w:bookmarkStart w:id="240" w:name="_Toc296890995"/>
      <w:bookmarkStart w:id="241" w:name="_Toc297123527"/>
      <w:bookmarkStart w:id="242" w:name="_Toc296346668"/>
      <w:bookmarkStart w:id="243" w:name="_Toc300934979"/>
      <w:bookmarkStart w:id="244" w:name="_Toc296944506"/>
      <w:bookmarkStart w:id="245" w:name="_Toc292559372"/>
      <w:bookmarkStart w:id="246" w:name="_Toc303539136"/>
      <w:bookmarkStart w:id="247" w:name="_Toc297216186"/>
      <w:bookmarkStart w:id="248" w:name="_Toc296891207"/>
      <w:bookmarkStart w:id="249" w:name="_Toc297120467"/>
      <w:bookmarkStart w:id="250" w:name="_Toc312677493"/>
      <w:bookmarkStart w:id="251" w:name="_Toc280868654"/>
      <w:bookmarkStart w:id="252" w:name="_Toc297048353"/>
      <w:bookmarkStart w:id="253" w:name="_Toc292559877"/>
      <w:bookmarkStart w:id="254" w:name="_Toc267251424"/>
      <w:bookmarkStart w:id="255" w:name="_Toc280868655"/>
      <w:bookmarkStart w:id="256" w:name="_Toc280868656"/>
      <w:r>
        <w:rPr>
          <w:rFonts w:hint="eastAsia" w:ascii="仿宋" w:hAnsi="仿宋" w:eastAsia="仿宋" w:cs="仿宋"/>
          <w:color w:val="000000" w:themeColor="text1"/>
          <w:sz w:val="24"/>
          <w:szCs w:val="24"/>
          <w:highlight w:val="none"/>
          <w14:textFill>
            <w14:solidFill>
              <w14:schemeClr w14:val="tx1"/>
            </w14:solidFill>
          </w14:textFill>
        </w:rPr>
        <w:t>.4材料与工程设备的保管与使用</w:t>
      </w:r>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14:paraId="7762D003">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bookmarkStart w:id="257" w:name="_Toc292559878"/>
      <w:bookmarkStart w:id="258" w:name="_Toc292559373"/>
      <w:bookmarkStart w:id="259" w:name="_Toc296890996"/>
      <w:bookmarkStart w:id="260" w:name="_Toc297048354"/>
      <w:bookmarkStart w:id="261" w:name="_Toc304295557"/>
      <w:bookmarkStart w:id="262" w:name="_Toc312678020"/>
      <w:bookmarkStart w:id="263" w:name="_Toc300934980"/>
      <w:bookmarkStart w:id="264" w:name="_Toc297216187"/>
      <w:bookmarkStart w:id="265" w:name="_Toc296347167"/>
      <w:bookmarkStart w:id="266" w:name="_Toc296944507"/>
      <w:bookmarkStart w:id="267" w:name="_Toc297120468"/>
      <w:bookmarkStart w:id="268" w:name="_Toc312677494"/>
      <w:bookmarkStart w:id="269" w:name="_Toc296891208"/>
      <w:bookmarkStart w:id="270" w:name="_Toc303539137"/>
      <w:bookmarkStart w:id="271" w:name="_Toc296503168"/>
      <w:bookmarkStart w:id="272" w:name="_Toc296346669"/>
      <w:bookmarkStart w:id="273" w:name="_Toc318581173"/>
      <w:bookmarkStart w:id="274" w:name="_Toc297123528"/>
      <w:r>
        <w:rPr>
          <w:rFonts w:hint="eastAsia" w:ascii="仿宋" w:hAnsi="仿宋" w:eastAsia="仿宋" w:cs="仿宋"/>
          <w:color w:val="000000" w:themeColor="text1"/>
          <w:sz w:val="24"/>
          <w:szCs w:val="24"/>
          <w:highlight w:val="none"/>
          <w14:textFill>
            <w14:solidFill>
              <w14:schemeClr w14:val="tx1"/>
            </w14:solidFill>
          </w14:textFill>
        </w:rPr>
        <w:t>.4.1发包人供应的材料设备的保管费用的承担：</w:t>
      </w:r>
      <w:bookmarkEnd w:id="257"/>
      <w:bookmarkEnd w:id="258"/>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双方另行约定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4AB46CB">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275" w:name="_Toc7892"/>
      <w:r>
        <w:rPr>
          <w:rFonts w:hint="eastAsia" w:ascii="仿宋" w:hAnsi="仿宋" w:eastAsia="仿宋" w:cs="仿宋"/>
          <w:color w:val="000000" w:themeColor="text1"/>
          <w:sz w:val="24"/>
          <w:szCs w:val="24"/>
          <w:highlight w:val="none"/>
          <w14:textFill>
            <w14:solidFill>
              <w14:schemeClr w14:val="tx1"/>
            </w14:solidFill>
          </w14:textFill>
        </w:rPr>
        <w:t>8.6 样品</w:t>
      </w:r>
      <w:bookmarkEnd w:id="275"/>
    </w:p>
    <w:p w14:paraId="553EE586">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8.6.1</w:t>
      </w:r>
      <w:r>
        <w:rPr>
          <w:rFonts w:hint="eastAsia" w:ascii="仿宋" w:hAnsi="仿宋" w:eastAsia="仿宋" w:cs="仿宋"/>
          <w:color w:val="000000" w:themeColor="text1"/>
          <w:kern w:val="0"/>
          <w:sz w:val="24"/>
          <w:szCs w:val="24"/>
          <w:highlight w:val="none"/>
          <w14:textFill>
            <w14:solidFill>
              <w14:schemeClr w14:val="tx1"/>
            </w14:solidFill>
          </w14:textFill>
        </w:rPr>
        <w:tab/>
      </w:r>
      <w:r>
        <w:rPr>
          <w:rFonts w:hint="eastAsia" w:ascii="仿宋" w:hAnsi="仿宋" w:eastAsia="仿宋" w:cs="仿宋"/>
          <w:color w:val="000000" w:themeColor="text1"/>
          <w:kern w:val="0"/>
          <w:sz w:val="24"/>
          <w:szCs w:val="24"/>
          <w:highlight w:val="none"/>
          <w14:textFill>
            <w14:solidFill>
              <w14:schemeClr w14:val="tx1"/>
            </w14:solidFill>
          </w14:textFill>
        </w:rPr>
        <w:t>样品的报送与封存</w:t>
      </w:r>
    </w:p>
    <w:p w14:paraId="072C278C">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需要承包人报送样品的材料或工程设备，样品的种类、名称、规格、数量要求：</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B7CD362">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276" w:name="_Toc31889"/>
      <w:r>
        <w:rPr>
          <w:rFonts w:hint="eastAsia" w:ascii="仿宋" w:hAnsi="仿宋" w:eastAsia="仿宋" w:cs="仿宋"/>
          <w:color w:val="000000" w:themeColor="text1"/>
          <w:sz w:val="24"/>
          <w:szCs w:val="24"/>
          <w:highlight w:val="none"/>
          <w14:textFill>
            <w14:solidFill>
              <w14:schemeClr w14:val="tx1"/>
            </w14:solidFill>
          </w14:textFill>
        </w:rPr>
        <w:t>8.8 施工设备和临时设施</w:t>
      </w:r>
      <w:bookmarkEnd w:id="276"/>
    </w:p>
    <w:p w14:paraId="38626B6D">
      <w:pPr>
        <w:autoSpaceDE w:val="0"/>
        <w:autoSpaceDN w:val="0"/>
        <w:adjustRightInd w:val="0"/>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8.8.1 承包人提供的施工设备和临时设施</w:t>
      </w:r>
    </w:p>
    <w:p w14:paraId="6E099DB1">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关于修建临时设施费用承担的约定：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双方另行约定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2115BCE">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277" w:name="_Toc15023"/>
      <w:bookmarkStart w:id="278" w:name="_Toc19919"/>
      <w:bookmarkStart w:id="279" w:name="_Toc36021968"/>
      <w:bookmarkStart w:id="280" w:name="_Toc5550"/>
      <w:bookmarkStart w:id="281" w:name="_Toc15515"/>
      <w:r>
        <w:rPr>
          <w:rFonts w:hint="eastAsia" w:ascii="仿宋" w:hAnsi="仿宋" w:eastAsia="仿宋" w:cs="仿宋"/>
          <w:color w:val="000000" w:themeColor="text1"/>
          <w:sz w:val="24"/>
          <w:szCs w:val="24"/>
          <w:highlight w:val="none"/>
          <w14:textFill>
            <w14:solidFill>
              <w14:schemeClr w14:val="tx1"/>
            </w14:solidFill>
          </w14:textFill>
        </w:rPr>
        <w:t>9</w:t>
      </w:r>
      <w:bookmarkEnd w:id="254"/>
      <w:bookmarkEnd w:id="255"/>
      <w:bookmarkEnd w:id="256"/>
      <w:bookmarkStart w:id="282" w:name="_Toc312677495"/>
      <w:bookmarkStart w:id="283" w:name="_Toc304295559"/>
      <w:bookmarkStart w:id="284" w:name="_Toc297216192"/>
      <w:bookmarkStart w:id="285" w:name="_Toc303539139"/>
      <w:bookmarkStart w:id="286" w:name="_Toc297123533"/>
      <w:bookmarkStart w:id="287" w:name="_Toc300934982"/>
      <w:bookmarkStart w:id="288" w:name="_Toc312678021"/>
      <w:bookmarkStart w:id="289" w:name="_Toc296503173"/>
      <w:bookmarkStart w:id="290" w:name="_Toc267251427"/>
      <w:bookmarkStart w:id="291" w:name="_Toc296891001"/>
      <w:bookmarkStart w:id="292" w:name="_Toc267251428"/>
      <w:bookmarkStart w:id="293" w:name="_Toc296891213"/>
      <w:bookmarkStart w:id="294" w:name="_Toc297120473"/>
      <w:bookmarkStart w:id="295" w:name="_Toc296944512"/>
      <w:bookmarkStart w:id="296" w:name="_Toc297048359"/>
      <w:bookmarkStart w:id="297" w:name="_Toc296347172"/>
      <w:bookmarkStart w:id="298" w:name="_Toc296346674"/>
      <w:bookmarkStart w:id="299" w:name="_Toc292559378"/>
      <w:bookmarkStart w:id="300" w:name="_Toc292559883"/>
      <w:r>
        <w:rPr>
          <w:rFonts w:hint="eastAsia" w:ascii="仿宋" w:hAnsi="仿宋" w:eastAsia="仿宋" w:cs="仿宋"/>
          <w:color w:val="000000" w:themeColor="text1"/>
          <w:sz w:val="24"/>
          <w:szCs w:val="24"/>
          <w:highlight w:val="none"/>
          <w14:textFill>
            <w14:solidFill>
              <w14:schemeClr w14:val="tx1"/>
            </w14:solidFill>
          </w14:textFill>
        </w:rPr>
        <w:t>. 试验与检验</w:t>
      </w:r>
      <w:bookmarkEnd w:id="277"/>
      <w:bookmarkEnd w:id="278"/>
      <w:bookmarkEnd w:id="279"/>
      <w:bookmarkEnd w:id="280"/>
      <w:bookmarkEnd w:id="281"/>
    </w:p>
    <w:bookmarkEnd w:id="282"/>
    <w:bookmarkEnd w:id="283"/>
    <w:bookmarkEnd w:id="284"/>
    <w:bookmarkEnd w:id="285"/>
    <w:bookmarkEnd w:id="286"/>
    <w:bookmarkEnd w:id="287"/>
    <w:bookmarkEnd w:id="288"/>
    <w:p w14:paraId="7E372D8E">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bookmarkStart w:id="301" w:name="_Toc312677496"/>
      <w:bookmarkStart w:id="302" w:name="_Toc297123534"/>
      <w:bookmarkStart w:id="303" w:name="_Toc304295560"/>
      <w:bookmarkStart w:id="304" w:name="_Toc312678022"/>
      <w:bookmarkStart w:id="305" w:name="_Toc300934983"/>
      <w:bookmarkStart w:id="306" w:name="_Toc303539140"/>
      <w:bookmarkStart w:id="307" w:name="_Toc297216193"/>
      <w:r>
        <w:rPr>
          <w:rFonts w:hint="eastAsia" w:ascii="仿宋" w:hAnsi="仿宋" w:eastAsia="仿宋" w:cs="仿宋"/>
          <w:color w:val="000000" w:themeColor="text1"/>
          <w:sz w:val="24"/>
          <w:szCs w:val="24"/>
          <w:highlight w:val="none"/>
          <w14:textFill>
            <w14:solidFill>
              <w14:schemeClr w14:val="tx1"/>
            </w14:solidFill>
          </w14:textFill>
        </w:rPr>
        <w:t>.1试验设备与试验人员</w:t>
      </w:r>
    </w:p>
    <w:bookmarkEnd w:id="301"/>
    <w:bookmarkEnd w:id="302"/>
    <w:bookmarkEnd w:id="303"/>
    <w:bookmarkEnd w:id="304"/>
    <w:bookmarkEnd w:id="305"/>
    <w:bookmarkEnd w:id="306"/>
    <w:bookmarkEnd w:id="307"/>
    <w:p w14:paraId="2C18D4D7">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bookmarkStart w:id="308" w:name="_Toc297216194"/>
      <w:bookmarkStart w:id="309" w:name="_Toc297123535"/>
      <w:bookmarkStart w:id="310" w:name="_Toc312678023"/>
      <w:bookmarkStart w:id="311" w:name="_Toc312677497"/>
      <w:bookmarkStart w:id="312" w:name="_Toc303539141"/>
      <w:bookmarkStart w:id="313" w:name="_Toc304295561"/>
      <w:bookmarkStart w:id="314" w:name="_Toc300934984"/>
      <w:bookmarkStart w:id="315" w:name="_Toc318581174"/>
      <w:r>
        <w:rPr>
          <w:rFonts w:hint="eastAsia" w:ascii="仿宋" w:hAnsi="仿宋" w:eastAsia="仿宋" w:cs="仿宋"/>
          <w:color w:val="000000" w:themeColor="text1"/>
          <w:sz w:val="24"/>
          <w:szCs w:val="24"/>
          <w:highlight w:val="none"/>
          <w14:textFill>
            <w14:solidFill>
              <w14:schemeClr w14:val="tx1"/>
            </w14:solidFill>
          </w14:textFill>
        </w:rPr>
        <w:t>.1.2 试验设备</w:t>
      </w:r>
    </w:p>
    <w:p w14:paraId="0A1F9B71">
      <w:pPr>
        <w:autoSpaceDE w:val="0"/>
        <w:autoSpaceDN w:val="0"/>
        <w:adjustRightInd w:val="0"/>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施工现场需要配置的试验场所：</w:t>
      </w:r>
      <w:bookmarkEnd w:id="308"/>
      <w:bookmarkEnd w:id="309"/>
      <w:bookmarkEnd w:id="310"/>
      <w:bookmarkEnd w:id="311"/>
      <w:bookmarkEnd w:id="312"/>
      <w:bookmarkEnd w:id="313"/>
      <w:bookmarkEnd w:id="314"/>
      <w:bookmarkStart w:id="316" w:name="_Toc303539142"/>
      <w:bookmarkStart w:id="317" w:name="_Toc297123536"/>
      <w:bookmarkStart w:id="318" w:name="_Toc312677498"/>
      <w:bookmarkStart w:id="319" w:name="_Toc312678024"/>
      <w:bookmarkStart w:id="320" w:name="_Toc297216195"/>
      <w:bookmarkStart w:id="321" w:name="_Toc300934985"/>
      <w:bookmarkStart w:id="322" w:name="_Toc304295562"/>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9E1288C">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施工现场需要配备的试验设备：</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328C0F9">
      <w:pPr>
        <w:autoSpaceDE w:val="0"/>
        <w:autoSpaceDN w:val="0"/>
        <w:adjustRightInd w:val="0"/>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施工现场需要具备的其他试验条件：</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0A712DA">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323" w:name="_Toc18018"/>
      <w:r>
        <w:rPr>
          <w:rFonts w:hint="eastAsia" w:ascii="仿宋" w:hAnsi="仿宋" w:eastAsia="仿宋" w:cs="仿宋"/>
          <w:color w:val="000000" w:themeColor="text1"/>
          <w:sz w:val="24"/>
          <w:szCs w:val="24"/>
          <w:highlight w:val="none"/>
          <w14:textFill>
            <w14:solidFill>
              <w14:schemeClr w14:val="tx1"/>
            </w14:solidFill>
          </w14:textFill>
        </w:rPr>
        <w:t>9.4 现场工艺试验</w:t>
      </w:r>
      <w:bookmarkEnd w:id="323"/>
    </w:p>
    <w:p w14:paraId="177CE57C">
      <w:pPr>
        <w:autoSpaceDE w:val="0"/>
        <w:autoSpaceDN w:val="0"/>
        <w:adjustRightInd w:val="0"/>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现场工艺试验的有关约定：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bookmarkEnd w:id="315"/>
    <w:bookmarkEnd w:id="316"/>
    <w:bookmarkEnd w:id="317"/>
    <w:bookmarkEnd w:id="318"/>
    <w:bookmarkEnd w:id="319"/>
    <w:bookmarkEnd w:id="320"/>
    <w:bookmarkEnd w:id="321"/>
    <w:bookmarkEnd w:id="322"/>
    <w:p w14:paraId="50A6B091">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324" w:name="_Toc17093"/>
      <w:bookmarkStart w:id="325" w:name="_Toc14325"/>
      <w:bookmarkStart w:id="326" w:name="_Toc36021969"/>
      <w:bookmarkStart w:id="327" w:name="_Toc10206"/>
      <w:bookmarkStart w:id="328" w:name="_Toc21690"/>
      <w:r>
        <w:rPr>
          <w:rFonts w:hint="eastAsia" w:ascii="仿宋" w:hAnsi="仿宋" w:eastAsia="仿宋" w:cs="仿宋"/>
          <w:color w:val="000000" w:themeColor="text1"/>
          <w:sz w:val="24"/>
          <w:szCs w:val="24"/>
          <w:highlight w:val="none"/>
          <w14:textFill>
            <w14:solidFill>
              <w14:schemeClr w14:val="tx1"/>
            </w14:solidFill>
          </w14:textFill>
        </w:rPr>
        <w:t>1</w:t>
      </w:r>
      <w:bookmarkEnd w:id="289"/>
      <w:bookmarkEnd w:id="290"/>
      <w:bookmarkEnd w:id="291"/>
      <w:bookmarkEnd w:id="292"/>
      <w:bookmarkEnd w:id="293"/>
      <w:bookmarkEnd w:id="294"/>
      <w:bookmarkEnd w:id="295"/>
      <w:bookmarkEnd w:id="296"/>
      <w:bookmarkEnd w:id="297"/>
      <w:bookmarkEnd w:id="298"/>
      <w:bookmarkEnd w:id="299"/>
      <w:bookmarkEnd w:id="300"/>
      <w:bookmarkStart w:id="329" w:name="_Toc304295566"/>
      <w:bookmarkStart w:id="330" w:name="_Toc296346694"/>
      <w:bookmarkStart w:id="331" w:name="_Toc303539146"/>
      <w:bookmarkStart w:id="332" w:name="_Toc296503193"/>
      <w:bookmarkStart w:id="333" w:name="_Toc296347192"/>
      <w:bookmarkStart w:id="334" w:name="_Toc297120493"/>
      <w:bookmarkStart w:id="335" w:name="_Toc297048379"/>
      <w:bookmarkStart w:id="336" w:name="_Toc300934989"/>
      <w:bookmarkStart w:id="337" w:name="_Toc296891021"/>
      <w:bookmarkStart w:id="338" w:name="_Toc296944532"/>
      <w:bookmarkStart w:id="339" w:name="_Toc296891233"/>
      <w:bookmarkStart w:id="340" w:name="_Toc297123540"/>
      <w:bookmarkStart w:id="341" w:name="_Toc292559903"/>
      <w:bookmarkStart w:id="342" w:name="_Toc297216199"/>
      <w:bookmarkStart w:id="343" w:name="_Toc292559398"/>
      <w:bookmarkStart w:id="344" w:name="_Toc312678025"/>
      <w:bookmarkStart w:id="345" w:name="_Toc312677499"/>
      <w:bookmarkStart w:id="346" w:name="_Toc267251441"/>
      <w:bookmarkStart w:id="347" w:name="_Toc267251433"/>
      <w:bookmarkStart w:id="348" w:name="_Toc267251440"/>
      <w:bookmarkStart w:id="349" w:name="_Toc267251435"/>
      <w:bookmarkStart w:id="350" w:name="_Toc267251437"/>
      <w:bookmarkStart w:id="351" w:name="_Toc267251439"/>
      <w:bookmarkStart w:id="352" w:name="_Toc267251442"/>
      <w:r>
        <w:rPr>
          <w:rFonts w:hint="eastAsia" w:ascii="仿宋" w:hAnsi="仿宋" w:eastAsia="仿宋" w:cs="仿宋"/>
          <w:color w:val="000000" w:themeColor="text1"/>
          <w:sz w:val="24"/>
          <w:szCs w:val="24"/>
          <w:highlight w:val="none"/>
          <w14:textFill>
            <w14:solidFill>
              <w14:schemeClr w14:val="tx1"/>
            </w14:solidFill>
          </w14:textFill>
        </w:rPr>
        <w:t>0. 变更</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bookmarkEnd w:id="344"/>
    <w:bookmarkEnd w:id="345"/>
    <w:p w14:paraId="4CB1CD82">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bookmarkStart w:id="353" w:name="_Toc296346695"/>
      <w:bookmarkStart w:id="354" w:name="_Toc297123541"/>
      <w:bookmarkStart w:id="355" w:name="_Toc296944533"/>
      <w:bookmarkStart w:id="356" w:name="_Toc296891022"/>
      <w:bookmarkStart w:id="357" w:name="_Toc300934990"/>
      <w:bookmarkStart w:id="358" w:name="_Toc296503194"/>
      <w:bookmarkStart w:id="359" w:name="_Toc297216200"/>
      <w:bookmarkStart w:id="360" w:name="_Toc292559904"/>
      <w:bookmarkStart w:id="361" w:name="_Toc304295567"/>
      <w:bookmarkStart w:id="362" w:name="_Toc312678026"/>
      <w:bookmarkStart w:id="363" w:name="_Toc303539147"/>
      <w:bookmarkStart w:id="364" w:name="_Toc297120494"/>
      <w:bookmarkStart w:id="365" w:name="_Toc297048380"/>
      <w:bookmarkStart w:id="366" w:name="_Toc296347193"/>
      <w:bookmarkStart w:id="367" w:name="_Toc312677500"/>
      <w:bookmarkStart w:id="368" w:name="_Toc296891234"/>
      <w:bookmarkStart w:id="369" w:name="_Toc292559399"/>
      <w:r>
        <w:rPr>
          <w:rFonts w:hint="eastAsia" w:ascii="仿宋" w:hAnsi="仿宋" w:eastAsia="仿宋" w:cs="仿宋"/>
          <w:color w:val="000000" w:themeColor="text1"/>
          <w:sz w:val="24"/>
          <w:szCs w:val="24"/>
          <w:highlight w:val="none"/>
          <w14:textFill>
            <w14:solidFill>
              <w14:schemeClr w14:val="tx1"/>
            </w14:solidFill>
          </w14:textFill>
        </w:rPr>
        <w:t>0.1变更的范围</w:t>
      </w:r>
    </w:p>
    <w:p w14:paraId="6248B88C">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关于变更的范围的约定：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B7F1F60">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370" w:name="_Toc19120"/>
      <w:r>
        <w:rPr>
          <w:rFonts w:hint="eastAsia" w:ascii="仿宋" w:hAnsi="仿宋" w:eastAsia="仿宋" w:cs="仿宋"/>
          <w:color w:val="000000" w:themeColor="text1"/>
          <w:sz w:val="24"/>
          <w:szCs w:val="24"/>
          <w:highlight w:val="none"/>
          <w14:textFill>
            <w14:solidFill>
              <w14:schemeClr w14:val="tx1"/>
            </w14:solidFill>
          </w14:textFill>
        </w:rPr>
        <w:t>10.4 变更估价</w:t>
      </w:r>
      <w:bookmarkEnd w:id="370"/>
    </w:p>
    <w:p w14:paraId="274BC7A8">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10.4.1 变更估价原则</w:t>
      </w:r>
    </w:p>
    <w:p w14:paraId="4FA66F98">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关于变更估价的约定: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99611DC">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Start w:id="371" w:name="_Toc297048383"/>
      <w:bookmarkStart w:id="372" w:name="_Toc297216203"/>
      <w:bookmarkStart w:id="373" w:name="_Toc300934993"/>
      <w:bookmarkStart w:id="374" w:name="_Toc292559402"/>
      <w:bookmarkStart w:id="375" w:name="_Toc296347196"/>
      <w:bookmarkStart w:id="376" w:name="_Toc296944536"/>
      <w:bookmarkStart w:id="377" w:name="_Toc297120497"/>
      <w:bookmarkStart w:id="378" w:name="_Toc296891025"/>
      <w:bookmarkStart w:id="379" w:name="_Toc292559907"/>
      <w:bookmarkStart w:id="380" w:name="_Toc296346698"/>
      <w:bookmarkStart w:id="381" w:name="_Toc297123544"/>
      <w:bookmarkStart w:id="382" w:name="_Toc296891237"/>
      <w:bookmarkStart w:id="383" w:name="_Toc303539150"/>
      <w:bookmarkStart w:id="384" w:name="_Toc296503197"/>
      <w:bookmarkStart w:id="385" w:name="_Toc312677503"/>
      <w:bookmarkStart w:id="386" w:name="_Toc312678029"/>
      <w:bookmarkStart w:id="387" w:name="_Toc304295570"/>
      <w:r>
        <w:rPr>
          <w:rFonts w:hint="eastAsia" w:ascii="仿宋" w:hAnsi="仿宋" w:eastAsia="仿宋" w:cs="仿宋"/>
          <w:color w:val="000000" w:themeColor="text1"/>
          <w:sz w:val="24"/>
          <w:szCs w:val="24"/>
          <w:highlight w:val="none"/>
          <w14:textFill>
            <w14:solidFill>
              <w14:schemeClr w14:val="tx1"/>
            </w14:solidFill>
          </w14:textFill>
        </w:rPr>
        <w:t>0.5承</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Start w:id="388" w:name="_Toc296891243"/>
      <w:bookmarkStart w:id="389" w:name="_Toc296891031"/>
      <w:bookmarkStart w:id="390" w:name="_Toc292559913"/>
      <w:bookmarkStart w:id="391" w:name="_Toc297216204"/>
      <w:bookmarkStart w:id="392" w:name="_Toc300934994"/>
      <w:bookmarkStart w:id="393" w:name="_Toc297123545"/>
      <w:bookmarkStart w:id="394" w:name="_Toc296944542"/>
      <w:bookmarkStart w:id="395" w:name="_Toc296503203"/>
      <w:bookmarkStart w:id="396" w:name="_Toc296346704"/>
      <w:bookmarkStart w:id="397" w:name="_Toc292559408"/>
      <w:bookmarkStart w:id="398" w:name="_Toc297048389"/>
      <w:bookmarkStart w:id="399" w:name="_Toc297120503"/>
      <w:bookmarkStart w:id="400" w:name="_Toc296347202"/>
      <w:bookmarkStart w:id="401" w:name="_Toc303539151"/>
      <w:r>
        <w:rPr>
          <w:rFonts w:hint="eastAsia" w:ascii="仿宋" w:hAnsi="仿宋" w:eastAsia="仿宋" w:cs="仿宋"/>
          <w:color w:val="000000" w:themeColor="text1"/>
          <w:sz w:val="24"/>
          <w:szCs w:val="24"/>
          <w:highlight w:val="none"/>
          <w14:textFill>
            <w14:solidFill>
              <w14:schemeClr w14:val="tx1"/>
            </w14:solidFill>
          </w14:textFill>
        </w:rPr>
        <w:t>包人的合理化建议</w:t>
      </w:r>
    </w:p>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14:paraId="09A3F76D">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监理人审查承包人合理化建议的期限：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3日</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FBB65A7">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发包人审批承包人合理化建议的期限：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3日</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AA9533A">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w:t>
      </w:r>
      <w:bookmarkStart w:id="402" w:name="_Toc296891244"/>
      <w:bookmarkStart w:id="403" w:name="_Toc296944543"/>
      <w:bookmarkStart w:id="404" w:name="_Toc304295571"/>
      <w:bookmarkStart w:id="405" w:name="_Toc297120504"/>
      <w:bookmarkStart w:id="406" w:name="_Toc303539152"/>
      <w:bookmarkStart w:id="407" w:name="_Toc296891032"/>
      <w:bookmarkStart w:id="408" w:name="_Toc312677504"/>
      <w:bookmarkStart w:id="409" w:name="_Toc296503204"/>
      <w:bookmarkStart w:id="410" w:name="_Toc297048390"/>
      <w:bookmarkStart w:id="411" w:name="_Toc312678030"/>
      <w:bookmarkStart w:id="412" w:name="_Toc297216205"/>
      <w:bookmarkStart w:id="413" w:name="_Toc292559409"/>
      <w:bookmarkStart w:id="414" w:name="_Toc296347203"/>
      <w:bookmarkStart w:id="415" w:name="_Toc318581175"/>
      <w:bookmarkStart w:id="416" w:name="_Toc297123546"/>
      <w:bookmarkStart w:id="417" w:name="_Toc300934995"/>
      <w:bookmarkStart w:id="418" w:name="_Toc292559914"/>
      <w:bookmarkStart w:id="419" w:name="_Toc296346705"/>
      <w:r>
        <w:rPr>
          <w:rFonts w:hint="eastAsia" w:ascii="仿宋" w:hAnsi="仿宋" w:eastAsia="仿宋" w:cs="仿宋"/>
          <w:color w:val="000000" w:themeColor="text1"/>
          <w:sz w:val="24"/>
          <w:szCs w:val="24"/>
          <w:highlight w:val="none"/>
          <w14:textFill>
            <w14:solidFill>
              <w14:schemeClr w14:val="tx1"/>
            </w14:solidFill>
          </w14:textFill>
        </w:rPr>
        <w:t>包人提出的合理化建议降低了合同价格或者提高了工程经济效益的奖励的方法和金额为：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双方另行约定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14:paraId="61BCCDE4">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420" w:name="_Toc10818"/>
      <w:r>
        <w:rPr>
          <w:rFonts w:hint="eastAsia" w:ascii="仿宋" w:hAnsi="仿宋" w:eastAsia="仿宋" w:cs="仿宋"/>
          <w:color w:val="000000" w:themeColor="text1"/>
          <w:sz w:val="24"/>
          <w:szCs w:val="24"/>
          <w:highlight w:val="none"/>
          <w14:textFill>
            <w14:solidFill>
              <w14:schemeClr w14:val="tx1"/>
            </w14:solidFill>
          </w14:textFill>
        </w:rPr>
        <w:t>1</w:t>
      </w:r>
      <w:bookmarkStart w:id="421" w:name="_Toc297216207"/>
      <w:bookmarkStart w:id="422" w:name="_Toc296891239"/>
      <w:bookmarkStart w:id="423" w:name="_Toc297048385"/>
      <w:bookmarkStart w:id="424" w:name="_Toc297123548"/>
      <w:bookmarkStart w:id="425" w:name="_Toc296347198"/>
      <w:bookmarkStart w:id="426" w:name="_Toc296891027"/>
      <w:bookmarkStart w:id="427" w:name="_Toc303539154"/>
      <w:bookmarkStart w:id="428" w:name="_Toc300934997"/>
      <w:bookmarkStart w:id="429" w:name="_Toc304295574"/>
      <w:bookmarkStart w:id="430" w:name="_Toc297120499"/>
      <w:bookmarkStart w:id="431" w:name="_Toc296944538"/>
      <w:bookmarkStart w:id="432" w:name="_Toc312678033"/>
      <w:bookmarkStart w:id="433" w:name="_Toc292559404"/>
      <w:bookmarkStart w:id="434" w:name="_Toc292559909"/>
      <w:bookmarkStart w:id="435" w:name="_Toc312677507"/>
      <w:bookmarkStart w:id="436" w:name="_Toc296503199"/>
      <w:bookmarkStart w:id="437" w:name="_Toc296346700"/>
      <w:r>
        <w:rPr>
          <w:rFonts w:hint="eastAsia" w:ascii="仿宋" w:hAnsi="仿宋" w:eastAsia="仿宋" w:cs="仿宋"/>
          <w:color w:val="000000" w:themeColor="text1"/>
          <w:sz w:val="24"/>
          <w:szCs w:val="24"/>
          <w:highlight w:val="none"/>
          <w14:textFill>
            <w14:solidFill>
              <w14:schemeClr w14:val="tx1"/>
            </w14:solidFill>
          </w14:textFill>
        </w:rPr>
        <w:t>0.7 暂估价</w:t>
      </w:r>
      <w:bookmarkEnd w:id="420"/>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14:paraId="1A773732">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暂</w:t>
      </w:r>
      <w:bookmarkStart w:id="438" w:name="_Toc312677508"/>
      <w:bookmarkStart w:id="439" w:name="_Toc318581176"/>
      <w:bookmarkStart w:id="440" w:name="_Toc312678034"/>
      <w:r>
        <w:rPr>
          <w:rFonts w:hint="eastAsia" w:ascii="仿宋" w:hAnsi="仿宋" w:eastAsia="仿宋" w:cs="仿宋"/>
          <w:color w:val="000000" w:themeColor="text1"/>
          <w:kern w:val="0"/>
          <w:sz w:val="24"/>
          <w:szCs w:val="24"/>
          <w:highlight w:val="none"/>
          <w14:textFill>
            <w14:solidFill>
              <w14:schemeClr w14:val="tx1"/>
            </w14:solidFill>
          </w14:textFill>
        </w:rPr>
        <w:t>估价材料和工程设备的明细详见附件11：《</w:t>
      </w:r>
      <w:r>
        <w:rPr>
          <w:rFonts w:hint="eastAsia" w:ascii="仿宋" w:hAnsi="仿宋" w:eastAsia="仿宋" w:cs="仿宋"/>
          <w:color w:val="000000" w:themeColor="text1"/>
          <w:sz w:val="24"/>
          <w:szCs w:val="24"/>
          <w:highlight w:val="none"/>
          <w14:textFill>
            <w14:solidFill>
              <w14:schemeClr w14:val="tx1"/>
            </w14:solidFill>
          </w14:textFill>
        </w:rPr>
        <w:t>暂估价一览表》</w:t>
      </w:r>
      <w:r>
        <w:rPr>
          <w:rFonts w:hint="eastAsia" w:ascii="仿宋" w:hAnsi="仿宋" w:eastAsia="仿宋" w:cs="仿宋"/>
          <w:color w:val="000000" w:themeColor="text1"/>
          <w:kern w:val="0"/>
          <w:sz w:val="24"/>
          <w:szCs w:val="24"/>
          <w:highlight w:val="none"/>
          <w14:textFill>
            <w14:solidFill>
              <w14:schemeClr w14:val="tx1"/>
            </w14:solidFill>
          </w14:textFill>
        </w:rPr>
        <w:t>。</w:t>
      </w:r>
    </w:p>
    <w:bookmarkEnd w:id="438"/>
    <w:bookmarkEnd w:id="439"/>
    <w:bookmarkEnd w:id="440"/>
    <w:p w14:paraId="144906B9">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441" w:name="_Toc6620"/>
      <w:bookmarkStart w:id="442" w:name="_Toc36021970"/>
      <w:bookmarkStart w:id="443" w:name="_Toc24550"/>
      <w:bookmarkStart w:id="444" w:name="_Toc8556"/>
      <w:bookmarkStart w:id="445" w:name="_Toc12423"/>
      <w:r>
        <w:rPr>
          <w:rFonts w:hint="eastAsia" w:ascii="仿宋" w:hAnsi="仿宋" w:eastAsia="仿宋" w:cs="仿宋"/>
          <w:color w:val="000000" w:themeColor="text1"/>
          <w:sz w:val="24"/>
          <w:szCs w:val="24"/>
          <w:highlight w:val="none"/>
          <w14:textFill>
            <w14:solidFill>
              <w14:schemeClr w14:val="tx1"/>
            </w14:solidFill>
          </w14:textFill>
        </w:rPr>
        <w:t>11. 价格调整</w:t>
      </w:r>
      <w:bookmarkEnd w:id="441"/>
      <w:bookmarkEnd w:id="442"/>
      <w:bookmarkEnd w:id="443"/>
      <w:bookmarkEnd w:id="444"/>
      <w:bookmarkEnd w:id="445"/>
    </w:p>
    <w:p w14:paraId="39777067">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446" w:name="_Toc296891029"/>
      <w:bookmarkStart w:id="447" w:name="_Toc296347200"/>
      <w:bookmarkStart w:id="448" w:name="_Toc292559911"/>
      <w:bookmarkStart w:id="449" w:name="_Toc296891241"/>
      <w:bookmarkStart w:id="450" w:name="_Toc297216209"/>
      <w:bookmarkStart w:id="451" w:name="_Toc304295577"/>
      <w:bookmarkStart w:id="452" w:name="_Toc296944540"/>
      <w:bookmarkStart w:id="453" w:name="_Toc312678039"/>
      <w:bookmarkStart w:id="454" w:name="_Toc297123550"/>
      <w:bookmarkStart w:id="455" w:name="_Toc297048387"/>
      <w:bookmarkStart w:id="456" w:name="_Toc297120501"/>
      <w:bookmarkStart w:id="457" w:name="_Toc296503201"/>
      <w:bookmarkStart w:id="458" w:name="_Toc303539157"/>
      <w:bookmarkStart w:id="459" w:name="_Toc292559406"/>
      <w:bookmarkStart w:id="460" w:name="_Toc296346702"/>
      <w:bookmarkStart w:id="461" w:name="_Toc300935000"/>
      <w:r>
        <w:rPr>
          <w:rFonts w:hint="eastAsia" w:ascii="仿宋" w:hAnsi="仿宋" w:eastAsia="仿宋" w:cs="仿宋"/>
          <w:color w:val="000000" w:themeColor="text1"/>
          <w:sz w:val="24"/>
          <w:szCs w:val="24"/>
          <w:highlight w:val="none"/>
          <w14:textFill>
            <w14:solidFill>
              <w14:schemeClr w14:val="tx1"/>
            </w14:solidFill>
          </w14:textFill>
        </w:rPr>
        <w:t>11.1 市场价格波动引起的调整</w:t>
      </w:r>
    </w:p>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14:paraId="2E41DFFC">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市场价格波动是否调整合同价格的约定：否</w:t>
      </w:r>
      <w:r>
        <w:rPr>
          <w:rFonts w:hint="eastAsia" w:ascii="仿宋" w:hAnsi="仿宋" w:eastAsia="仿宋" w:cs="仿宋"/>
          <w:color w:val="000000" w:themeColor="text1"/>
          <w:sz w:val="24"/>
          <w:szCs w:val="24"/>
          <w:highlight w:val="none"/>
          <w14:textFill>
            <w14:solidFill>
              <w14:schemeClr w14:val="tx1"/>
            </w14:solidFill>
          </w14:textFill>
        </w:rPr>
        <w:t>。</w:t>
      </w:r>
    </w:p>
    <w:bookmarkEnd w:id="346"/>
    <w:bookmarkEnd w:id="347"/>
    <w:bookmarkEnd w:id="348"/>
    <w:bookmarkEnd w:id="349"/>
    <w:bookmarkEnd w:id="350"/>
    <w:bookmarkEnd w:id="351"/>
    <w:p w14:paraId="4DD483EB">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462" w:name="_Toc296347204"/>
      <w:bookmarkStart w:id="463" w:name="_Toc297048391"/>
      <w:bookmarkStart w:id="464" w:name="_Toc296944544"/>
      <w:bookmarkStart w:id="465" w:name="_Toc297120505"/>
      <w:bookmarkStart w:id="466" w:name="_Toc296891033"/>
      <w:bookmarkStart w:id="467" w:name="_Toc296346706"/>
      <w:bookmarkStart w:id="468" w:name="_Toc292559915"/>
      <w:bookmarkStart w:id="469" w:name="_Toc292559410"/>
      <w:bookmarkStart w:id="470" w:name="_Toc296503205"/>
      <w:bookmarkStart w:id="471" w:name="_Toc296891245"/>
      <w:bookmarkStart w:id="472" w:name="_Toc26635"/>
      <w:bookmarkStart w:id="473" w:name="_Toc9823"/>
      <w:bookmarkStart w:id="474" w:name="_Toc36021971"/>
      <w:bookmarkStart w:id="475" w:name="_Toc15919"/>
      <w:bookmarkStart w:id="476" w:name="_Toc18804"/>
      <w:bookmarkStart w:id="477" w:name="_Toc297123552"/>
      <w:bookmarkStart w:id="478" w:name="_Toc300935002"/>
      <w:bookmarkStart w:id="479" w:name="_Toc304295579"/>
      <w:bookmarkStart w:id="480" w:name="_Toc303539159"/>
      <w:bookmarkStart w:id="481" w:name="_Toc297216211"/>
      <w:bookmarkStart w:id="482" w:name="_Toc312678040"/>
      <w:r>
        <w:rPr>
          <w:rFonts w:hint="eastAsia" w:ascii="仿宋" w:hAnsi="仿宋" w:eastAsia="仿宋" w:cs="仿宋"/>
          <w:color w:val="000000" w:themeColor="text1"/>
          <w:sz w:val="24"/>
          <w:szCs w:val="24"/>
          <w:highlight w:val="none"/>
          <w14:textFill>
            <w14:solidFill>
              <w14:schemeClr w14:val="tx1"/>
            </w14:solidFill>
          </w14:textFill>
        </w:rPr>
        <w:t xml:space="preserve">12. </w:t>
      </w:r>
      <w:bookmarkEnd w:id="462"/>
      <w:bookmarkEnd w:id="463"/>
      <w:bookmarkEnd w:id="464"/>
      <w:bookmarkEnd w:id="465"/>
      <w:bookmarkEnd w:id="466"/>
      <w:bookmarkEnd w:id="467"/>
      <w:bookmarkEnd w:id="468"/>
      <w:bookmarkEnd w:id="469"/>
      <w:bookmarkEnd w:id="470"/>
      <w:bookmarkEnd w:id="471"/>
      <w:r>
        <w:rPr>
          <w:rFonts w:hint="eastAsia" w:ascii="仿宋" w:hAnsi="仿宋" w:eastAsia="仿宋" w:cs="仿宋"/>
          <w:color w:val="000000" w:themeColor="text1"/>
          <w:sz w:val="24"/>
          <w:szCs w:val="24"/>
          <w:highlight w:val="none"/>
          <w14:textFill>
            <w14:solidFill>
              <w14:schemeClr w14:val="tx1"/>
            </w14:solidFill>
          </w14:textFill>
        </w:rPr>
        <w:t>合同价格、计量与支付</w:t>
      </w:r>
      <w:bookmarkEnd w:id="472"/>
      <w:bookmarkEnd w:id="473"/>
      <w:bookmarkEnd w:id="474"/>
      <w:bookmarkEnd w:id="475"/>
      <w:bookmarkEnd w:id="476"/>
    </w:p>
    <w:bookmarkEnd w:id="477"/>
    <w:bookmarkEnd w:id="478"/>
    <w:bookmarkEnd w:id="479"/>
    <w:bookmarkEnd w:id="480"/>
    <w:bookmarkEnd w:id="481"/>
    <w:bookmarkEnd w:id="482"/>
    <w:p w14:paraId="3C4ECD9D">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483" w:name="_Toc292559916"/>
      <w:bookmarkStart w:id="484" w:name="_Toc267251461"/>
      <w:bookmarkStart w:id="485" w:name="_Toc292559411"/>
      <w:bookmarkStart w:id="486" w:name="_Toc296503206"/>
      <w:bookmarkStart w:id="487" w:name="_Toc297048392"/>
      <w:bookmarkStart w:id="488" w:name="_Toc296944545"/>
      <w:bookmarkStart w:id="489" w:name="_Toc296347205"/>
      <w:bookmarkStart w:id="490" w:name="_Toc296346707"/>
      <w:bookmarkStart w:id="491" w:name="_Toc296891034"/>
      <w:bookmarkStart w:id="492" w:name="_Toc297120506"/>
      <w:bookmarkStart w:id="493" w:name="_Toc296891246"/>
      <w:bookmarkStart w:id="494" w:name="_Toc312678041"/>
      <w:bookmarkStart w:id="495" w:name="_Toc297216212"/>
      <w:bookmarkStart w:id="496" w:name="_Toc303539160"/>
      <w:bookmarkStart w:id="497" w:name="_Toc297123553"/>
      <w:bookmarkStart w:id="498" w:name="_Toc300935003"/>
      <w:bookmarkStart w:id="499" w:name="_Toc304295580"/>
      <w:r>
        <w:rPr>
          <w:rFonts w:hint="eastAsia" w:ascii="仿宋" w:hAnsi="仿宋" w:eastAsia="仿宋" w:cs="仿宋"/>
          <w:color w:val="000000" w:themeColor="text1"/>
          <w:sz w:val="24"/>
          <w:szCs w:val="24"/>
          <w:highlight w:val="none"/>
          <w14:textFill>
            <w14:solidFill>
              <w14:schemeClr w14:val="tx1"/>
            </w14:solidFill>
          </w14:textFill>
        </w:rPr>
        <w:t>12.1 合</w:t>
      </w:r>
      <w:bookmarkEnd w:id="483"/>
      <w:bookmarkEnd w:id="484"/>
      <w:bookmarkEnd w:id="485"/>
      <w:r>
        <w:rPr>
          <w:rFonts w:hint="eastAsia" w:ascii="仿宋" w:hAnsi="仿宋" w:eastAsia="仿宋" w:cs="仿宋"/>
          <w:color w:val="000000" w:themeColor="text1"/>
          <w:sz w:val="24"/>
          <w:szCs w:val="24"/>
          <w:highlight w:val="none"/>
          <w14:textFill>
            <w14:solidFill>
              <w14:schemeClr w14:val="tx1"/>
            </w14:solidFill>
          </w14:textFill>
        </w:rPr>
        <w:t>同价</w:t>
      </w:r>
      <w:bookmarkEnd w:id="486"/>
      <w:bookmarkEnd w:id="487"/>
      <w:bookmarkEnd w:id="488"/>
      <w:bookmarkEnd w:id="489"/>
      <w:bookmarkEnd w:id="490"/>
      <w:bookmarkEnd w:id="491"/>
      <w:bookmarkEnd w:id="492"/>
      <w:bookmarkEnd w:id="493"/>
      <w:r>
        <w:rPr>
          <w:rFonts w:hint="eastAsia" w:ascii="仿宋" w:hAnsi="仿宋" w:eastAsia="仿宋" w:cs="仿宋"/>
          <w:color w:val="000000" w:themeColor="text1"/>
          <w:sz w:val="24"/>
          <w:szCs w:val="24"/>
          <w:highlight w:val="none"/>
          <w14:textFill>
            <w14:solidFill>
              <w14:schemeClr w14:val="tx1"/>
            </w14:solidFill>
          </w14:textFill>
        </w:rPr>
        <w:t>格形式</w:t>
      </w:r>
    </w:p>
    <w:bookmarkEnd w:id="494"/>
    <w:bookmarkEnd w:id="495"/>
    <w:bookmarkEnd w:id="496"/>
    <w:bookmarkEnd w:id="497"/>
    <w:bookmarkEnd w:id="498"/>
    <w:bookmarkEnd w:id="499"/>
    <w:p w14:paraId="41F9029E">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1、单价合同。</w:t>
      </w:r>
    </w:p>
    <w:p w14:paraId="7C04F38C">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综合单价包含的风险范围：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6ED7E6C">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风险费用的计算方法：</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BD8BAE2">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风险范围以外合同价格的调整方法：</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34CDAE5">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2、总价合同。</w:t>
      </w:r>
    </w:p>
    <w:p w14:paraId="2B863723">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总价包含的风险范围：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由于项目工期相对较短，材料市场供应充足，故因</w:t>
      </w:r>
      <w:r>
        <w:rPr>
          <w:rFonts w:hint="eastAsia" w:ascii="仿宋" w:hAnsi="仿宋" w:eastAsia="仿宋" w:cs="仿宋"/>
          <w:color w:val="000000" w:themeColor="text1"/>
          <w:kern w:val="0"/>
          <w:sz w:val="24"/>
          <w:szCs w:val="24"/>
          <w:highlight w:val="none"/>
          <w:u w:val="single"/>
          <w14:textFill>
            <w14:solidFill>
              <w14:schemeClr w14:val="tx1"/>
            </w14:solidFill>
          </w14:textFill>
        </w:rPr>
        <w:t>市场价格波动</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等不影响合同总价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B7BCE16">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风险费用的计算方法：</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F43D2E8">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风险范围以外合同价格的调整方法：</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1B40066">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3、其他价格方式：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E981B4F">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500" w:name="_Toc300935004"/>
      <w:bookmarkStart w:id="501" w:name="_Toc304295581"/>
      <w:bookmarkStart w:id="502" w:name="_Toc312678042"/>
      <w:bookmarkStart w:id="503" w:name="_Toc297216213"/>
      <w:bookmarkStart w:id="504" w:name="_Toc303539161"/>
      <w:bookmarkStart w:id="505" w:name="_Toc297123554"/>
      <w:bookmarkStart w:id="506" w:name="_Toc292559412"/>
      <w:bookmarkStart w:id="507" w:name="_Toc296347206"/>
      <w:bookmarkStart w:id="508" w:name="_Toc296891035"/>
      <w:bookmarkStart w:id="509" w:name="_Toc296346708"/>
      <w:bookmarkStart w:id="510" w:name="_Toc296944546"/>
      <w:bookmarkStart w:id="511" w:name="_Toc296503207"/>
      <w:bookmarkStart w:id="512" w:name="_Toc297048393"/>
      <w:bookmarkStart w:id="513" w:name="_Toc296891247"/>
      <w:bookmarkStart w:id="514" w:name="_Toc297120507"/>
      <w:bookmarkStart w:id="515" w:name="_Toc292559917"/>
      <w:r>
        <w:rPr>
          <w:rFonts w:hint="eastAsia" w:ascii="仿宋" w:hAnsi="仿宋" w:eastAsia="仿宋" w:cs="仿宋"/>
          <w:color w:val="000000" w:themeColor="text1"/>
          <w:sz w:val="24"/>
          <w:szCs w:val="24"/>
          <w:highlight w:val="none"/>
          <w14:textFill>
            <w14:solidFill>
              <w14:schemeClr w14:val="tx1"/>
            </w14:solidFill>
          </w14:textFill>
        </w:rPr>
        <w:t>12.2 预付款</w:t>
      </w:r>
    </w:p>
    <w:bookmarkEnd w:id="500"/>
    <w:bookmarkEnd w:id="501"/>
    <w:bookmarkEnd w:id="502"/>
    <w:bookmarkEnd w:id="503"/>
    <w:bookmarkEnd w:id="504"/>
    <w:bookmarkEnd w:id="505"/>
    <w:p w14:paraId="4F21EE99">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12.2.1 预付款的支付</w:t>
      </w:r>
    </w:p>
    <w:p w14:paraId="2DD2D050">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预付款支付比例或金额：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C3071CE">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预付款支付期限：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D111829">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预付款扣回的方式：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bookmarkEnd w:id="506"/>
    <w:bookmarkEnd w:id="507"/>
    <w:bookmarkEnd w:id="508"/>
    <w:bookmarkEnd w:id="509"/>
    <w:bookmarkEnd w:id="510"/>
    <w:bookmarkEnd w:id="511"/>
    <w:bookmarkEnd w:id="512"/>
    <w:bookmarkEnd w:id="513"/>
    <w:bookmarkEnd w:id="514"/>
    <w:bookmarkEnd w:id="515"/>
    <w:p w14:paraId="6738117A">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12.3 计量</w:t>
      </w:r>
    </w:p>
    <w:p w14:paraId="2D269011">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12.3.1 计量原则</w:t>
      </w:r>
    </w:p>
    <w:p w14:paraId="3BE24CB7">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工程量计算规则：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根据设计及施工合同内容，按照项目实际实施进度对工程量进行计量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373F7BB">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12.3.2 计量周期</w:t>
      </w:r>
    </w:p>
    <w:p w14:paraId="2D366F15">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关于计量周期的约定：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从项目开工到竣工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E7E3B0F">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12.3.3 单价合同的计量</w:t>
      </w:r>
    </w:p>
    <w:p w14:paraId="1F064399">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关于单价合同计量的约定：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无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9EF06A5">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12.3.4 总价合同的计量</w:t>
      </w:r>
    </w:p>
    <w:p w14:paraId="3A1EAB49">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关于总价合同计量的约定：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项目整体进度计量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A34523A">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12.3.5总价合同采用支付分解表计量支付的，是否适用第</w:t>
      </w:r>
      <w:r>
        <w:rPr>
          <w:rFonts w:hint="eastAsia" w:ascii="仿宋" w:hAnsi="仿宋" w:eastAsia="仿宋" w:cs="仿宋"/>
          <w:color w:val="000000" w:themeColor="text1"/>
          <w:kern w:val="0"/>
          <w:sz w:val="24"/>
          <w:szCs w:val="24"/>
          <w:highlight w:val="none"/>
          <w14:textFill>
            <w14:solidFill>
              <w14:schemeClr w14:val="tx1"/>
            </w14:solidFill>
          </w14:textFill>
        </w:rPr>
        <w:t xml:space="preserve">12.3.4 </w:t>
      </w:r>
      <w:r>
        <w:rPr>
          <w:rFonts w:hint="eastAsia" w:ascii="仿宋" w:hAnsi="仿宋" w:eastAsia="仿宋" w:cs="仿宋"/>
          <w:color w:val="000000" w:themeColor="text1"/>
          <w:sz w:val="24"/>
          <w:szCs w:val="24"/>
          <w:highlight w:val="none"/>
          <w14:textFill>
            <w14:solidFill>
              <w14:schemeClr w14:val="tx1"/>
            </w14:solidFill>
          </w14:textFill>
        </w:rPr>
        <w:t>项</w:t>
      </w:r>
      <w:r>
        <w:rPr>
          <w:rFonts w:hint="eastAsia" w:ascii="仿宋" w:hAnsi="仿宋" w:eastAsia="仿宋" w:cs="仿宋"/>
          <w:color w:val="000000" w:themeColor="text1"/>
          <w:kern w:val="0"/>
          <w:sz w:val="24"/>
          <w:szCs w:val="24"/>
          <w:highlight w:val="none"/>
          <w14:textFill>
            <w14:solidFill>
              <w14:schemeClr w14:val="tx1"/>
            </w14:solidFill>
          </w14:textFill>
        </w:rPr>
        <w:t>〔总价合同的计量〕</w:t>
      </w:r>
      <w:r>
        <w:rPr>
          <w:rFonts w:hint="eastAsia" w:ascii="仿宋" w:hAnsi="仿宋" w:eastAsia="仿宋" w:cs="仿宋"/>
          <w:color w:val="000000" w:themeColor="text1"/>
          <w:sz w:val="24"/>
          <w:szCs w:val="24"/>
          <w:highlight w:val="none"/>
          <w14:textFill>
            <w14:solidFill>
              <w14:schemeClr w14:val="tx1"/>
            </w14:solidFill>
          </w14:textFill>
        </w:rPr>
        <w:t>约定进行计量：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无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2DEDAE2">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12.3.6 其他价格形式合同的计量</w:t>
      </w:r>
    </w:p>
    <w:p w14:paraId="47ADB565">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其他价格形式的计量方式和程序：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无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4F5567B">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12.4 工程进度款支付</w:t>
      </w:r>
    </w:p>
    <w:p w14:paraId="233EB41D">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bookmarkStart w:id="516" w:name="_Toc300935006"/>
      <w:bookmarkStart w:id="517" w:name="_Toc296891039"/>
      <w:bookmarkStart w:id="518" w:name="_Toc296944550"/>
      <w:bookmarkStart w:id="519" w:name="_Toc296347210"/>
      <w:bookmarkStart w:id="520" w:name="_Toc292559416"/>
      <w:bookmarkStart w:id="521" w:name="_Toc297120511"/>
      <w:bookmarkStart w:id="522" w:name="_Toc297216215"/>
      <w:bookmarkStart w:id="523" w:name="_Toc292559921"/>
      <w:bookmarkStart w:id="524" w:name="_Toc296891251"/>
      <w:bookmarkStart w:id="525" w:name="_Toc296346712"/>
      <w:bookmarkStart w:id="526" w:name="_Toc303539163"/>
      <w:bookmarkStart w:id="527" w:name="_Toc297123556"/>
      <w:bookmarkStart w:id="528" w:name="_Toc296503211"/>
      <w:bookmarkStart w:id="529" w:name="_Toc297048397"/>
      <w:r>
        <w:rPr>
          <w:rFonts w:hint="eastAsia" w:ascii="仿宋" w:hAnsi="仿宋" w:eastAsia="仿宋" w:cs="仿宋"/>
          <w:color w:val="000000" w:themeColor="text1"/>
          <w:sz w:val="24"/>
          <w:szCs w:val="24"/>
          <w:highlight w:val="none"/>
          <w14:textFill>
            <w14:solidFill>
              <w14:schemeClr w14:val="tx1"/>
            </w14:solidFill>
          </w14:textFill>
        </w:rPr>
        <w:t>12.4.1 付款周期</w:t>
      </w:r>
    </w:p>
    <w:p w14:paraId="5FAC4229">
      <w:pPr>
        <w:autoSpaceDE w:val="0"/>
        <w:autoSpaceDN w:val="0"/>
        <w:adjustRightInd w:val="0"/>
        <w:spacing w:line="460" w:lineRule="exact"/>
        <w:ind w:left="239" w:leftChars="114"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关于付款周期的约定：</w:t>
      </w:r>
      <w:bookmarkStart w:id="530" w:name="_Toc256000052"/>
      <w:r>
        <w:rPr>
          <w:rFonts w:hint="eastAsia" w:ascii="仿宋" w:hAnsi="仿宋" w:eastAsia="仿宋" w:cs="仿宋"/>
          <w:color w:val="auto"/>
          <w:sz w:val="24"/>
          <w:szCs w:val="24"/>
          <w:highlight w:val="none"/>
          <w:u w:val="single"/>
          <w:lang w:val="en-US" w:eastAsia="zh-CN"/>
        </w:rPr>
        <w:t>合同签订后，工程人员、材料、机械设备进场开工后预付至合同价的50％，工程全部完工验收合格支付至合同价的80%，经决算审计后支</w:t>
      </w:r>
      <w:bookmarkEnd w:id="530"/>
      <w:r>
        <w:rPr>
          <w:rFonts w:hint="eastAsia" w:ascii="仿宋" w:hAnsi="仿宋" w:eastAsia="仿宋" w:cs="仿宋"/>
          <w:color w:val="auto"/>
          <w:sz w:val="24"/>
          <w:szCs w:val="24"/>
          <w:highlight w:val="none"/>
          <w:u w:val="single"/>
          <w:lang w:val="en-US" w:eastAsia="zh-CN"/>
        </w:rPr>
        <w:t>付剩余财政资金</w:t>
      </w:r>
      <w:r>
        <w:rPr>
          <w:rFonts w:hint="eastAsia" w:ascii="仿宋" w:hAnsi="仿宋" w:eastAsia="仿宋" w:cs="仿宋"/>
          <w:color w:val="auto"/>
          <w:sz w:val="24"/>
          <w:szCs w:val="24"/>
          <w:highlight w:val="none"/>
          <w:u w:val="none"/>
          <w:lang w:val="en-US" w:eastAsia="zh-CN"/>
        </w:rPr>
        <w:t>。（具体以偃师区财政局付款为准）</w:t>
      </w:r>
    </w:p>
    <w:p w14:paraId="5B68B12D">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12.4.2 进度付款申请单的编制</w:t>
      </w:r>
    </w:p>
    <w:p w14:paraId="5D111C4C">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关于进度付款申请单编制的约定：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中间工程支付证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B9510A3">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Pr>
          <w:rFonts w:hint="eastAsia" w:ascii="仿宋" w:hAnsi="仿宋" w:eastAsia="仿宋" w:cs="仿宋"/>
          <w:color w:val="000000" w:themeColor="text1"/>
          <w:sz w:val="24"/>
          <w:szCs w:val="24"/>
          <w:highlight w:val="none"/>
          <w14:textFill>
            <w14:solidFill>
              <w14:schemeClr w14:val="tx1"/>
            </w14:solidFill>
          </w14:textFill>
        </w:rPr>
        <w:t>2.4.3 进度付款申请单的提交</w:t>
      </w:r>
    </w:p>
    <w:p w14:paraId="795CECD5">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（1）单价合同进度付款申请单提交的约定：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无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1BDCEE4">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（2）总价合同进度付款申请单提交的约定：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施工单位、监理单位、业主单位、主管部门签署意见并加盖公章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4C2F86A">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（3）其他价格形式合同进度付款申请单提交的约定：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C9770D3">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12.4.4 进度款审核和支付</w:t>
      </w:r>
    </w:p>
    <w:p w14:paraId="1314B659">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（1）监理人审查并报送发包人的期限：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收到承包人（乙方）付款申请材料</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7天内</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72DD311">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发包人完成审批并签发进度款支付证书的期限：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收到监理人及施工单位付款申请材料</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7天内</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ADE20D3">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（2）发包人支付进度款的期限：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经审核付款材料齐全并符合要求</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7天内到财政付款</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ADE9F12">
      <w:pPr>
        <w:autoSpaceDE w:val="0"/>
        <w:autoSpaceDN w:val="0"/>
        <w:adjustRightInd w:val="0"/>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p w14:paraId="1E1319E8">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发包人逾期支付进度款的违约金的计算方式：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bookmarkEnd w:id="352"/>
    <w:p w14:paraId="3EA3A364">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531" w:name="_Toc36021972"/>
      <w:bookmarkStart w:id="532" w:name="_Toc2015"/>
      <w:bookmarkStart w:id="533" w:name="_Toc32647"/>
      <w:bookmarkStart w:id="534" w:name="_Toc9588"/>
      <w:bookmarkStart w:id="535" w:name="_Toc3768"/>
      <w:bookmarkStart w:id="536" w:name="_Toc303539172"/>
      <w:bookmarkStart w:id="537" w:name="_Toc297120519"/>
      <w:bookmarkStart w:id="538" w:name="_Toc304295593"/>
      <w:bookmarkStart w:id="539" w:name="_Toc312678053"/>
      <w:bookmarkStart w:id="540" w:name="_Toc292559929"/>
      <w:bookmarkStart w:id="541" w:name="_Toc296891047"/>
      <w:bookmarkStart w:id="542" w:name="_Toc296891259"/>
      <w:bookmarkStart w:id="543" w:name="_Toc292559424"/>
      <w:bookmarkStart w:id="544" w:name="_Toc297123564"/>
      <w:bookmarkStart w:id="545" w:name="_Toc296346720"/>
      <w:bookmarkStart w:id="546" w:name="_Toc297216223"/>
      <w:bookmarkStart w:id="547" w:name="_Toc296503219"/>
      <w:bookmarkStart w:id="548" w:name="_Toc296944558"/>
      <w:bookmarkStart w:id="549" w:name="_Toc296347218"/>
      <w:bookmarkStart w:id="550" w:name="_Toc300935015"/>
      <w:bookmarkStart w:id="551" w:name="_Toc297048405"/>
      <w:r>
        <w:rPr>
          <w:rFonts w:hint="eastAsia" w:ascii="仿宋" w:hAnsi="仿宋" w:eastAsia="仿宋" w:cs="仿宋"/>
          <w:color w:val="000000" w:themeColor="text1"/>
          <w:sz w:val="24"/>
          <w:szCs w:val="24"/>
          <w:highlight w:val="none"/>
          <w14:textFill>
            <w14:solidFill>
              <w14:schemeClr w14:val="tx1"/>
            </w14:solidFill>
          </w14:textFill>
        </w:rPr>
        <w:t>13. 验收和工程试车</w:t>
      </w:r>
      <w:bookmarkEnd w:id="531"/>
      <w:bookmarkEnd w:id="532"/>
      <w:bookmarkEnd w:id="533"/>
      <w:bookmarkEnd w:id="534"/>
      <w:bookmarkEnd w:id="535"/>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12E3C574">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13.1 分部分项工程验收</w:t>
      </w:r>
    </w:p>
    <w:p w14:paraId="778AC430">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13.1.2监理人不能按时进行验收时，应提前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24</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小时提交书面延期要求。</w:t>
      </w:r>
    </w:p>
    <w:p w14:paraId="117268FD">
      <w:pPr>
        <w:spacing w:line="460" w:lineRule="exact"/>
        <w:ind w:firstLine="480" w:firstLineChars="200"/>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关于延期最长不得超过：</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24</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小时。</w:t>
      </w:r>
    </w:p>
    <w:p w14:paraId="59B2AC62">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552" w:name="_Toc296891263"/>
      <w:bookmarkStart w:id="553" w:name="_Toc297120523"/>
      <w:bookmarkStart w:id="554" w:name="_Toc296944562"/>
      <w:bookmarkStart w:id="555" w:name="_Toc296346724"/>
      <w:bookmarkStart w:id="556" w:name="_Toc303539173"/>
      <w:bookmarkStart w:id="557" w:name="_Toc297123565"/>
      <w:bookmarkStart w:id="558" w:name="_Toc292559428"/>
      <w:bookmarkStart w:id="559" w:name="_Toc312678056"/>
      <w:bookmarkStart w:id="560" w:name="_Toc297048409"/>
      <w:bookmarkStart w:id="561" w:name="_Toc292559933"/>
      <w:bookmarkStart w:id="562" w:name="_Toc304295596"/>
      <w:bookmarkStart w:id="563" w:name="_Toc296891051"/>
      <w:bookmarkStart w:id="564" w:name="_Toc300935016"/>
      <w:bookmarkStart w:id="565" w:name="_Toc296503223"/>
      <w:bookmarkStart w:id="566" w:name="_Toc296347222"/>
      <w:bookmarkStart w:id="567" w:name="_Toc297216224"/>
      <w:bookmarkStart w:id="568" w:name="_Toc267251475"/>
      <w:bookmarkStart w:id="569" w:name="_Toc267251476"/>
      <w:bookmarkStart w:id="570" w:name="_Toc267251471"/>
      <w:bookmarkStart w:id="571" w:name="_Toc267251472"/>
      <w:bookmarkStart w:id="572" w:name="_Toc267251474"/>
      <w:bookmarkStart w:id="573" w:name="_Toc267251470"/>
      <w:bookmarkStart w:id="574" w:name="_Toc267251473"/>
      <w:r>
        <w:rPr>
          <w:rFonts w:hint="eastAsia" w:ascii="仿宋" w:hAnsi="仿宋" w:eastAsia="仿宋" w:cs="仿宋"/>
          <w:color w:val="000000" w:themeColor="text1"/>
          <w:sz w:val="24"/>
          <w:szCs w:val="24"/>
          <w:highlight w:val="none"/>
          <w14:textFill>
            <w14:solidFill>
              <w14:schemeClr w14:val="tx1"/>
            </w14:solidFill>
          </w14:textFill>
        </w:rPr>
        <w:t>13.2 竣工验收</w:t>
      </w:r>
    </w:p>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14:paraId="60956BF6">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bookmarkStart w:id="575" w:name="_Toc280868704"/>
      <w:bookmarkStart w:id="576" w:name="_Toc280868705"/>
      <w:bookmarkStart w:id="577" w:name="_Toc280868706"/>
      <w:bookmarkStart w:id="578" w:name="_Toc280868707"/>
      <w:bookmarkStart w:id="579" w:name="_Toc280868708"/>
      <w:bookmarkStart w:id="580" w:name="_Toc280868709"/>
      <w:r>
        <w:rPr>
          <w:rFonts w:hint="eastAsia" w:ascii="仿宋" w:hAnsi="仿宋" w:eastAsia="仿宋" w:cs="仿宋"/>
          <w:color w:val="000000" w:themeColor="text1"/>
          <w:sz w:val="24"/>
          <w:szCs w:val="24"/>
          <w:highlight w:val="none"/>
          <w14:textFill>
            <w14:solidFill>
              <w14:schemeClr w14:val="tx1"/>
            </w14:solidFill>
          </w14:textFill>
        </w:rPr>
        <w:t>13.2.2竣工验收程序</w:t>
      </w:r>
    </w:p>
    <w:bookmarkEnd w:id="575"/>
    <w:p w14:paraId="64B71D37">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关于竣工验收程序的约定：</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项目验收严格执行初验制度，由业主单位在项目</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完</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工后组织对项目进行初验，在初验合格的基础上报行业部门组织竣工验收 行业部门在业主单位提出申请</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15日内完成验收</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bookmarkEnd w:id="576"/>
    <w:p w14:paraId="508FF491">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13.2.5移交、接收全部与部分工程</w:t>
      </w:r>
    </w:p>
    <w:bookmarkEnd w:id="577"/>
    <w:p w14:paraId="62234663">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承包人向发包人移交工程的期限：</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在工程验收报告出具</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15个工作日内</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bookmarkEnd w:id="578"/>
    <w:bookmarkEnd w:id="579"/>
    <w:p w14:paraId="54A0A424">
      <w:pPr>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13.3.1 试车程序</w:t>
      </w:r>
    </w:p>
    <w:p w14:paraId="3F5382CA">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工程试车内容：</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按设计要求</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37D2ED7">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581" w:name="_Toc32187"/>
      <w:bookmarkStart w:id="582" w:name="_Toc19974"/>
      <w:bookmarkStart w:id="583" w:name="_Toc13619"/>
      <w:bookmarkStart w:id="584" w:name="_Toc16363"/>
      <w:bookmarkStart w:id="585" w:name="_Toc36021973"/>
      <w:r>
        <w:rPr>
          <w:rFonts w:hint="eastAsia" w:ascii="仿宋" w:hAnsi="仿宋" w:eastAsia="仿宋" w:cs="仿宋"/>
          <w:color w:val="000000" w:themeColor="text1"/>
          <w:sz w:val="24"/>
          <w:szCs w:val="24"/>
          <w:highlight w:val="none"/>
          <w14:textFill>
            <w14:solidFill>
              <w14:schemeClr w14:val="tx1"/>
            </w14:solidFill>
          </w14:textFill>
        </w:rPr>
        <w:t>14. 竣工结算</w:t>
      </w:r>
      <w:bookmarkEnd w:id="581"/>
      <w:bookmarkEnd w:id="582"/>
      <w:bookmarkEnd w:id="583"/>
      <w:bookmarkEnd w:id="584"/>
      <w:bookmarkEnd w:id="585"/>
    </w:p>
    <w:p w14:paraId="5B968A6F">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14.1 竣工结算申请</w:t>
      </w:r>
    </w:p>
    <w:p w14:paraId="1FF6C278">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承包人提交竣工结算申请单的期限：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4697CD7">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竣工结算申请单应包括的内容：</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E5C7FF3">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586" w:name="_Toc1905"/>
      <w:r>
        <w:rPr>
          <w:rFonts w:hint="eastAsia" w:ascii="仿宋" w:hAnsi="仿宋" w:eastAsia="仿宋" w:cs="仿宋"/>
          <w:color w:val="000000" w:themeColor="text1"/>
          <w:sz w:val="24"/>
          <w:szCs w:val="24"/>
          <w:highlight w:val="none"/>
          <w14:textFill>
            <w14:solidFill>
              <w14:schemeClr w14:val="tx1"/>
            </w14:solidFill>
          </w14:textFill>
        </w:rPr>
        <w:t>14.2 竣工结算审核</w:t>
      </w:r>
      <w:bookmarkEnd w:id="586"/>
    </w:p>
    <w:p w14:paraId="69F68103">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发包人审批竣工付款申请单的期限：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B17D6EE">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发包人完成竣工付款的期限：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6AE660C">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关于竣工付款证书异议部分复核的方式和程序：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E417AF0">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14.4 最终结清</w:t>
      </w:r>
    </w:p>
    <w:p w14:paraId="0501EC1F">
      <w:pPr>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14.4.1 最终结清申请单</w:t>
      </w:r>
    </w:p>
    <w:p w14:paraId="47D2D222">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承包人提交最终结清申请单的份数：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C1F7228">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承包人提交最终结算申请单的期限：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6975538">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14.4.2 最终结清证书和支付</w:t>
      </w:r>
    </w:p>
    <w:p w14:paraId="3B924277">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（1）发包人完成最终结清申请单的审批并颁发最终结清证书的期限：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8F37639">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（2）发包人完成支付的期限：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bookmarkEnd w:id="568"/>
    <w:bookmarkEnd w:id="569"/>
    <w:bookmarkEnd w:id="570"/>
    <w:bookmarkEnd w:id="571"/>
    <w:bookmarkEnd w:id="572"/>
    <w:bookmarkEnd w:id="573"/>
    <w:bookmarkEnd w:id="574"/>
    <w:bookmarkEnd w:id="580"/>
    <w:p w14:paraId="0FC8BF76">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587" w:name="_Toc9969"/>
      <w:bookmarkStart w:id="588" w:name="_Toc30098"/>
      <w:bookmarkStart w:id="589" w:name="_Toc9439"/>
      <w:bookmarkStart w:id="590" w:name="_Toc36021974"/>
      <w:bookmarkStart w:id="591" w:name="_Toc15042"/>
      <w:bookmarkStart w:id="592" w:name="_Toc267251483"/>
      <w:bookmarkStart w:id="593" w:name="_Toc267251482"/>
      <w:bookmarkStart w:id="594" w:name="_Toc267251484"/>
      <w:bookmarkStart w:id="595" w:name="_Toc267251485"/>
      <w:bookmarkStart w:id="596" w:name="_Toc267251489"/>
      <w:bookmarkStart w:id="597" w:name="_Toc267251486"/>
      <w:bookmarkStart w:id="598" w:name="_Toc267251490"/>
      <w:bookmarkStart w:id="599" w:name="_Toc267251488"/>
      <w:bookmarkStart w:id="600" w:name="_Toc267251496"/>
      <w:bookmarkStart w:id="601" w:name="_Toc267251495"/>
      <w:bookmarkStart w:id="602" w:name="_Toc267251502"/>
      <w:bookmarkStart w:id="603" w:name="_Toc267251498"/>
      <w:bookmarkStart w:id="604" w:name="_Toc267251491"/>
      <w:bookmarkStart w:id="605" w:name="_Toc267251497"/>
      <w:bookmarkStart w:id="606" w:name="_Toc267251503"/>
      <w:bookmarkStart w:id="607" w:name="_Toc267251494"/>
      <w:bookmarkStart w:id="608" w:name="_Toc267251499"/>
      <w:bookmarkStart w:id="609" w:name="_Toc267251493"/>
      <w:bookmarkStart w:id="610" w:name="_Toc267251501"/>
      <w:bookmarkStart w:id="611" w:name="_Toc267251492"/>
      <w:bookmarkStart w:id="612" w:name="_Toc267251506"/>
      <w:bookmarkStart w:id="613" w:name="_Toc267251508"/>
      <w:bookmarkStart w:id="614" w:name="_Toc267251507"/>
      <w:bookmarkStart w:id="615" w:name="_Toc267251504"/>
      <w:bookmarkStart w:id="616" w:name="_Toc267251513"/>
      <w:bookmarkStart w:id="617" w:name="_Toc267251511"/>
      <w:bookmarkStart w:id="618" w:name="_Toc267251515"/>
      <w:bookmarkStart w:id="619" w:name="_Toc267251510"/>
      <w:bookmarkStart w:id="620" w:name="_Toc267251509"/>
      <w:bookmarkStart w:id="621" w:name="_Toc267251514"/>
      <w:r>
        <w:rPr>
          <w:rFonts w:hint="eastAsia" w:ascii="仿宋" w:hAnsi="仿宋" w:eastAsia="仿宋" w:cs="仿宋"/>
          <w:color w:val="000000" w:themeColor="text1"/>
          <w:sz w:val="24"/>
          <w:szCs w:val="24"/>
          <w:highlight w:val="none"/>
          <w14:textFill>
            <w14:solidFill>
              <w14:schemeClr w14:val="tx1"/>
            </w14:solidFill>
          </w14:textFill>
        </w:rPr>
        <w:t>15. 缺陷责任期与保修</w:t>
      </w:r>
      <w:bookmarkEnd w:id="587"/>
      <w:bookmarkEnd w:id="588"/>
      <w:bookmarkEnd w:id="589"/>
      <w:bookmarkEnd w:id="590"/>
      <w:bookmarkEnd w:id="591"/>
    </w:p>
    <w:p w14:paraId="57B27937">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15.2缺陷责任期</w:t>
      </w:r>
      <w:bookmarkEnd w:id="592"/>
    </w:p>
    <w:p w14:paraId="3919AC68">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缺陷责任期的具体期限：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验收合格后</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一</w:t>
      </w:r>
      <w:r>
        <w:rPr>
          <w:rFonts w:hint="eastAsia" w:ascii="仿宋" w:hAnsi="仿宋" w:eastAsia="仿宋" w:cs="仿宋"/>
          <w:color w:val="000000" w:themeColor="text1"/>
          <w:sz w:val="24"/>
          <w:szCs w:val="24"/>
          <w:highlight w:val="none"/>
          <w:u w:val="single"/>
          <w14:textFill>
            <w14:solidFill>
              <w14:schemeClr w14:val="tx1"/>
            </w14:solidFill>
          </w14:textFill>
        </w:rPr>
        <w:t xml:space="preserve">年       </w:t>
      </w:r>
      <w:r>
        <w:rPr>
          <w:rFonts w:hint="eastAsia" w:ascii="仿宋" w:hAnsi="仿宋" w:eastAsia="仿宋" w:cs="仿宋"/>
          <w:color w:val="000000" w:themeColor="text1"/>
          <w:sz w:val="24"/>
          <w:szCs w:val="24"/>
          <w:highlight w:val="none"/>
          <w14:textFill>
            <w14:solidFill>
              <w14:schemeClr w14:val="tx1"/>
            </w14:solidFill>
          </w14:textFill>
        </w:rPr>
        <w:t>。</w:t>
      </w:r>
    </w:p>
    <w:p w14:paraId="4C97579F">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22" w:name="_Toc2532"/>
      <w:r>
        <w:rPr>
          <w:rFonts w:hint="eastAsia" w:ascii="仿宋" w:hAnsi="仿宋" w:eastAsia="仿宋" w:cs="仿宋"/>
          <w:color w:val="000000" w:themeColor="text1"/>
          <w:sz w:val="24"/>
          <w:szCs w:val="24"/>
          <w:highlight w:val="none"/>
          <w14:textFill>
            <w14:solidFill>
              <w14:schemeClr w14:val="tx1"/>
            </w14:solidFill>
          </w14:textFill>
        </w:rPr>
        <w:t>15.3 质量保证金</w:t>
      </w:r>
      <w:bookmarkEnd w:id="622"/>
    </w:p>
    <w:p w14:paraId="5F8280C0">
      <w:pPr>
        <w:autoSpaceDE w:val="0"/>
        <w:autoSpaceDN w:val="0"/>
        <w:adjustRightInd w:val="0"/>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关于是否扣留质量保证金的约定：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。在工程项目竣工前，承包人按专用合同条款第3.7条提供履约担保的，发包人不得同时预留工程质量保证金。</w:t>
      </w:r>
    </w:p>
    <w:bookmarkEnd w:id="593"/>
    <w:bookmarkEnd w:id="594"/>
    <w:p w14:paraId="15132FD9">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15.4保修</w:t>
      </w:r>
    </w:p>
    <w:bookmarkEnd w:id="595"/>
    <w:p w14:paraId="4672FA26">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15.4.1 保修责任</w:t>
      </w:r>
    </w:p>
    <w:p w14:paraId="22443E51">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工程保修期为：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按相关规定执行</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B1816FC">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15.4.3 修复通知</w:t>
      </w:r>
    </w:p>
    <w:p w14:paraId="46E5603E">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承包人收到保修通知并到达工程现场的合理时间：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3天内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bookmarkEnd w:id="596"/>
    <w:bookmarkEnd w:id="597"/>
    <w:bookmarkEnd w:id="598"/>
    <w:bookmarkEnd w:id="599"/>
    <w:p w14:paraId="11F835F8">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23" w:name="_Toc8871"/>
      <w:bookmarkStart w:id="624" w:name="_Toc36021975"/>
      <w:bookmarkStart w:id="625" w:name="_Toc10600"/>
      <w:bookmarkStart w:id="626" w:name="_Toc22266"/>
      <w:bookmarkStart w:id="627" w:name="_Toc22082"/>
      <w:bookmarkStart w:id="628" w:name="_Toc280868717"/>
      <w:bookmarkStart w:id="629" w:name="_Toc280868718"/>
      <w:r>
        <w:rPr>
          <w:rFonts w:hint="eastAsia" w:ascii="仿宋" w:hAnsi="仿宋" w:eastAsia="仿宋" w:cs="仿宋"/>
          <w:color w:val="000000" w:themeColor="text1"/>
          <w:sz w:val="24"/>
          <w:szCs w:val="24"/>
          <w:highlight w:val="none"/>
          <w14:textFill>
            <w14:solidFill>
              <w14:schemeClr w14:val="tx1"/>
            </w14:solidFill>
          </w14:textFill>
        </w:rPr>
        <w:t>16. 违约</w:t>
      </w:r>
      <w:bookmarkEnd w:id="623"/>
      <w:bookmarkEnd w:id="624"/>
      <w:bookmarkEnd w:id="625"/>
      <w:bookmarkEnd w:id="626"/>
      <w:bookmarkEnd w:id="627"/>
    </w:p>
    <w:p w14:paraId="2093E166">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30" w:name="_Toc24555"/>
      <w:bookmarkStart w:id="631" w:name="_Toc8135"/>
      <w:bookmarkStart w:id="632" w:name="_Toc36021976"/>
      <w:bookmarkStart w:id="633" w:name="_Toc20562"/>
      <w:bookmarkStart w:id="634" w:name="_Toc202"/>
      <w:bookmarkStart w:id="635" w:name="_Toc15591"/>
      <w:r>
        <w:rPr>
          <w:rFonts w:hint="eastAsia" w:ascii="仿宋" w:hAnsi="仿宋" w:eastAsia="仿宋" w:cs="仿宋"/>
          <w:color w:val="000000" w:themeColor="text1"/>
          <w:sz w:val="24"/>
          <w:szCs w:val="24"/>
          <w:highlight w:val="none"/>
          <w14:textFill>
            <w14:solidFill>
              <w14:schemeClr w14:val="tx1"/>
            </w14:solidFill>
          </w14:textFill>
        </w:rPr>
        <w:t>16.1 发包人违约</w:t>
      </w:r>
      <w:bookmarkEnd w:id="630"/>
    </w:p>
    <w:p w14:paraId="2D7C0323">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16.1.1发包人违约的情形</w:t>
      </w:r>
    </w:p>
    <w:p w14:paraId="4F848432">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发包人违约的其他情形：</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施工外围环境差，因发包人原因造成的阻工或停工影响工程进度导致严重工期延误</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AEA4939">
      <w:pPr>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16.1.2 发包人违约的责任</w:t>
      </w:r>
    </w:p>
    <w:p w14:paraId="0C340552">
      <w:pPr>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发包人违约责任的承担方式和计算方法：</w:t>
      </w:r>
    </w:p>
    <w:p w14:paraId="5BA55431">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（1）因发包人原因未能在计划开工日期前7天内下达开工通知的违约责任：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双方另行协商</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DCD7C95">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（2）因发包人原因未能按合同约定支付合同价款的违约责任：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执行本合同专用条款</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C1A1568">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（3）发包人违反第10.1款〔变更的范围〕第（2）项约定，自行实施被取消的工作或转由他人实施的违约责任：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双方另行协商</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6E0FA1A">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双方另行协商</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4ECE866">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（5）因发包人违反合同约定造成暂停施工的违约责任：</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双方另行协商</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A86A934">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（6）发包人无正当理由没有在约定期限内发出复工指示，导致承包人无法复工的违约责任：</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双方另行协商</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0C0C5FF">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16.1.3 因发包人违约解除合同</w:t>
      </w:r>
    </w:p>
    <w:p w14:paraId="77CDE051">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承包人按16.1.1项〔发包人违约的情形〕约定暂停施工满天后发包人仍不纠正其违约行为并致使合同目的不能实现的，承包人有权解除合同。</w:t>
      </w:r>
    </w:p>
    <w:p w14:paraId="494D1E02">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36" w:name="_Toc22759"/>
      <w:r>
        <w:rPr>
          <w:rFonts w:hint="eastAsia" w:ascii="仿宋" w:hAnsi="仿宋" w:eastAsia="仿宋" w:cs="仿宋"/>
          <w:color w:val="000000" w:themeColor="text1"/>
          <w:sz w:val="24"/>
          <w:szCs w:val="24"/>
          <w:highlight w:val="none"/>
          <w14:textFill>
            <w14:solidFill>
              <w14:schemeClr w14:val="tx1"/>
            </w14:solidFill>
          </w14:textFill>
        </w:rPr>
        <w:t>16.2 承包人违约</w:t>
      </w:r>
      <w:bookmarkEnd w:id="636"/>
    </w:p>
    <w:p w14:paraId="539EA7EC">
      <w:pPr>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16.2.1 承包人违约的情形</w:t>
      </w:r>
    </w:p>
    <w:p w14:paraId="3716C26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t xml:space="preserve">   在合同履行过程中发生的下列情形，属于承包人违约:</w:t>
      </w:r>
    </w:p>
    <w:p w14:paraId="029FB381">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outlineLvl w:val="9"/>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t>(1)承包人违反合同约定进行转包或违法分包的;</w:t>
      </w:r>
    </w:p>
    <w:p w14:paraId="7E2C21C1">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outlineLvl w:val="9"/>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t>(2)承包人违反合同约定采购和使用不合格的材料和工程设备的;</w:t>
      </w:r>
    </w:p>
    <w:p w14:paraId="4D0C283E">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outlineLvl w:val="9"/>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t>(3)因承包人原因导致工程质量不符合合同要求的;</w:t>
      </w:r>
    </w:p>
    <w:p w14:paraId="0379E146">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outlineLvl w:val="9"/>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t>(4)承包人违反约定，未经批准，私自将已按照合同约定进入施工现场的材料或设备撤离施工现场的;</w:t>
      </w:r>
    </w:p>
    <w:p w14:paraId="1718AD19">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outlineLvl w:val="9"/>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t>(5)承包人未能按施工进度计划及时完成合同约定的工作，造成工期延误的;</w:t>
      </w:r>
    </w:p>
    <w:p w14:paraId="56A361F0">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outlineLvl w:val="9"/>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t>(6)承包人在缺陷责任期及保修期内，未能在合理期限对工程缺陷进行修复，或拒绝按发包人要求进行修复的;</w:t>
      </w:r>
    </w:p>
    <w:p w14:paraId="2690A8D2">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outlineLvl w:val="9"/>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t>(7)承包人明确表示或者以其行为表明不履行合同主要义务的;</w:t>
      </w:r>
    </w:p>
    <w:p w14:paraId="479AF7BD">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outlineLvl w:val="9"/>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t>(8)承包人未能按照合同约定履行其他义务的；</w:t>
      </w:r>
    </w:p>
    <w:p w14:paraId="4F9433E8">
      <w:pPr>
        <w:keepNext w:val="0"/>
        <w:keepLines w:val="0"/>
        <w:pageBreakBefore w:val="0"/>
        <w:widowControl w:val="0"/>
        <w:kinsoku/>
        <w:wordWrap/>
        <w:overflowPunct/>
        <w:topLinePunct w:val="0"/>
        <w:autoSpaceDE w:val="0"/>
        <w:autoSpaceDN w:val="0"/>
        <w:bidi w:val="0"/>
        <w:adjustRightInd w:val="0"/>
        <w:snapToGrid/>
        <w:spacing w:line="400" w:lineRule="exact"/>
        <w:ind w:firstLine="512"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t>(九)</w:t>
      </w:r>
      <w:r>
        <w:rPr>
          <w:rFonts w:hint="eastAsia" w:ascii="仿宋" w:hAnsi="仿宋" w:eastAsia="仿宋" w:cs="仿宋"/>
          <w:color w:val="000000" w:themeColor="text1"/>
          <w:sz w:val="24"/>
          <w:szCs w:val="24"/>
          <w:highlight w:val="none"/>
          <w:u w:val="none"/>
          <w:lang w:eastAsia="zh-CN"/>
          <w14:textFill>
            <w14:solidFill>
              <w14:schemeClr w14:val="tx1"/>
            </w14:solidFill>
          </w14:textFill>
        </w:rPr>
        <w:t>未按照设计及施工合同约定的内容和标准施工、因承包人原因（乙方）原因导致工程停工或工期严重滞后、施工质量存在问题、不接受业主单位、监理单位、主管部门的质量进度监管、问题整改不到位或拒不整改</w:t>
      </w:r>
      <w:r>
        <w:rPr>
          <w:rFonts w:hint="eastAsia" w:ascii="仿宋" w:hAnsi="仿宋" w:eastAsia="仿宋" w:cs="仿宋"/>
          <w:color w:val="000000" w:themeColor="text1"/>
          <w:sz w:val="24"/>
          <w:szCs w:val="24"/>
          <w:highlight w:val="none"/>
          <w14:textFill>
            <w14:solidFill>
              <w14:schemeClr w14:val="tx1"/>
            </w14:solidFill>
          </w14:textFill>
        </w:rPr>
        <w:t>。</w:t>
      </w:r>
    </w:p>
    <w:p w14:paraId="326A04BA">
      <w:pPr>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16.2.2承包人违约的责任</w:t>
      </w:r>
    </w:p>
    <w:p w14:paraId="20F4EC73">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承包人违约责任的承担方式和计算方法：</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工期延误超过1天罚款500元；</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并承担因其违约行为而增加的费用和（或）延误的工期，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因承包人原因（乙方）原因施工质量出现问题且拒不整改，直至解除合同</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E32FB60">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16.2.3 因承包人违约解除合同</w:t>
      </w:r>
    </w:p>
    <w:p w14:paraId="16EDC71E">
      <w:pPr>
        <w:autoSpaceDE w:val="0"/>
        <w:autoSpaceDN w:val="0"/>
        <w:adjustRightInd w:val="0"/>
        <w:spacing w:line="460" w:lineRule="exact"/>
        <w:ind w:firstLine="512" w:firstLineChars="200"/>
        <w:jc w:val="left"/>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8"/>
          <w:sz w:val="24"/>
          <w:szCs w:val="24"/>
          <w:highlight w:val="none"/>
          <w:u w:val="none"/>
          <w:shd w:val="clear" w:color="auto" w:fill="FFFFFF"/>
          <w:lang w:val="en-US" w:eastAsia="zh-CN"/>
          <w14:textFill>
            <w14:solidFill>
              <w14:schemeClr w14:val="tx1"/>
            </w14:solidFill>
          </w14:textFill>
        </w:rPr>
        <w:t>除专用合同条款另有约定外，出现第16.2.1项【承包人违约的情形了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F557170">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关于承包人违约解除合同的特别约定：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不按照设计及施工合同规定内容和标准施工、施工质量存在严重问题且不按要求整改、不接受业主单位、监理单位、主管部门的质量进度监管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590A020">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 不可抗力</w:t>
      </w:r>
      <w:bookmarkEnd w:id="628"/>
      <w:bookmarkEnd w:id="631"/>
      <w:bookmarkEnd w:id="632"/>
      <w:bookmarkEnd w:id="633"/>
      <w:bookmarkEnd w:id="634"/>
      <w:bookmarkEnd w:id="635"/>
    </w:p>
    <w:p w14:paraId="22D69A93">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17.1 不可抗力的确认</w:t>
      </w:r>
    </w:p>
    <w:p w14:paraId="7B40B9AF">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除通用合同条款约定的不可抗力事件之外，视为不可抗力的其他情形：</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无特殊约定</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DDD6D3D">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37" w:name="_Toc8454"/>
      <w:r>
        <w:rPr>
          <w:rFonts w:hint="eastAsia" w:ascii="仿宋" w:hAnsi="仿宋" w:eastAsia="仿宋" w:cs="仿宋"/>
          <w:color w:val="000000" w:themeColor="text1"/>
          <w:sz w:val="24"/>
          <w:szCs w:val="24"/>
          <w:highlight w:val="none"/>
          <w14:textFill>
            <w14:solidFill>
              <w14:schemeClr w14:val="tx1"/>
            </w14:solidFill>
          </w14:textFill>
        </w:rPr>
        <w:t>17.4 因不可抗力解除合同</w:t>
      </w:r>
      <w:bookmarkEnd w:id="637"/>
    </w:p>
    <w:p w14:paraId="6E55DDD2">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合同解除后，发包人应在商定或确定发包人应支付款项后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天内完成款项的支付。</w:t>
      </w:r>
    </w:p>
    <w:p w14:paraId="55650FF2">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38" w:name="_Toc36021977"/>
      <w:bookmarkStart w:id="639" w:name="_Toc716"/>
      <w:bookmarkStart w:id="640" w:name="_Toc16534"/>
      <w:bookmarkStart w:id="641" w:name="_Toc4597"/>
      <w:bookmarkStart w:id="642" w:name="_Toc18264"/>
      <w:r>
        <w:rPr>
          <w:rFonts w:hint="eastAsia" w:ascii="仿宋" w:hAnsi="仿宋" w:eastAsia="仿宋" w:cs="仿宋"/>
          <w:color w:val="000000" w:themeColor="text1"/>
          <w:sz w:val="24"/>
          <w:szCs w:val="24"/>
          <w:highlight w:val="none"/>
          <w14:textFill>
            <w14:solidFill>
              <w14:schemeClr w14:val="tx1"/>
            </w14:solidFill>
          </w14:textFill>
        </w:rPr>
        <w:t>18. 保险</w:t>
      </w:r>
      <w:bookmarkEnd w:id="638"/>
      <w:bookmarkEnd w:id="639"/>
      <w:bookmarkEnd w:id="640"/>
      <w:bookmarkEnd w:id="641"/>
      <w:bookmarkEnd w:id="642"/>
    </w:p>
    <w:bookmarkEnd w:id="629"/>
    <w:p w14:paraId="6DE0079E">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18.1 工程保险</w:t>
      </w:r>
    </w:p>
    <w:p w14:paraId="489D2062">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关于工程保险的特别约定：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由承包人（乙方）承担</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76DD87D">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43" w:name="_Toc4931"/>
      <w:r>
        <w:rPr>
          <w:rFonts w:hint="eastAsia" w:ascii="仿宋" w:hAnsi="仿宋" w:eastAsia="仿宋" w:cs="仿宋"/>
          <w:color w:val="000000" w:themeColor="text1"/>
          <w:sz w:val="24"/>
          <w:szCs w:val="24"/>
          <w:highlight w:val="none"/>
          <w14:textFill>
            <w14:solidFill>
              <w14:schemeClr w14:val="tx1"/>
            </w14:solidFill>
          </w14:textFill>
        </w:rPr>
        <w:t>18.3 其他保险</w:t>
      </w:r>
      <w:bookmarkEnd w:id="643"/>
    </w:p>
    <w:p w14:paraId="5921C01C">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关于其他保险的约定：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 xml:space="preserve">与施工有关的一切人员及设备、机械等保险均有施工方（乙方）承担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D32B983">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承包人是否应为其施工设备等办理财产保险：</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 xml:space="preserve"> 由（乙方）施工单位按照相关规定办理并自行承担费用及后果</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73BCB6E">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18.7 通知义务</w:t>
      </w:r>
    </w:p>
    <w:p w14:paraId="4DBA6C9C">
      <w:pPr>
        <w:autoSpaceDE w:val="0"/>
        <w:autoSpaceDN w:val="0"/>
        <w:adjustRightInd w:val="0"/>
        <w:spacing w:line="46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关于变更保险合同时的通知义务的约定：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 xml:space="preserve">由（乙方）施工单位按照相关规定办理并自行承担费用及后果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bookmarkEnd w:id="600"/>
    <w:bookmarkEnd w:id="601"/>
    <w:bookmarkEnd w:id="602"/>
    <w:bookmarkEnd w:id="603"/>
    <w:bookmarkEnd w:id="604"/>
    <w:bookmarkEnd w:id="605"/>
    <w:bookmarkEnd w:id="606"/>
    <w:bookmarkEnd w:id="607"/>
    <w:bookmarkEnd w:id="608"/>
    <w:bookmarkEnd w:id="609"/>
    <w:bookmarkEnd w:id="610"/>
    <w:bookmarkEnd w:id="611"/>
    <w:p w14:paraId="748F8D4E">
      <w:pPr>
        <w:pStyle w:val="4"/>
        <w:spacing w:before="0" w:after="0" w:line="4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44" w:name="_Toc14089"/>
      <w:bookmarkStart w:id="645" w:name="_Toc6839"/>
      <w:bookmarkStart w:id="646" w:name="_Toc28179"/>
      <w:bookmarkStart w:id="647" w:name="_Toc18388"/>
      <w:bookmarkStart w:id="648" w:name="_Toc36021978"/>
      <w:r>
        <w:rPr>
          <w:rFonts w:hint="eastAsia" w:ascii="仿宋" w:hAnsi="仿宋" w:eastAsia="仿宋" w:cs="仿宋"/>
          <w:color w:val="000000" w:themeColor="text1"/>
          <w:sz w:val="24"/>
          <w:szCs w:val="24"/>
          <w:highlight w:val="none"/>
          <w14:textFill>
            <w14:solidFill>
              <w14:schemeClr w14:val="tx1"/>
            </w14:solidFill>
          </w14:textFill>
        </w:rPr>
        <w:t>20. 争议解决</w:t>
      </w:r>
      <w:bookmarkEnd w:id="644"/>
      <w:bookmarkEnd w:id="645"/>
      <w:bookmarkEnd w:id="646"/>
      <w:bookmarkEnd w:id="647"/>
      <w:bookmarkEnd w:id="648"/>
    </w:p>
    <w:bookmarkEnd w:id="612"/>
    <w:bookmarkEnd w:id="613"/>
    <w:bookmarkEnd w:id="614"/>
    <w:bookmarkEnd w:id="615"/>
    <w:p w14:paraId="4F995216">
      <w:pPr>
        <w:spacing w:line="4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因合同及合同有关事项发生的争议，按下列第</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种方式解决：</w:t>
      </w:r>
    </w:p>
    <w:p w14:paraId="4FE84CFC">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（1）向仲裁委员会申请仲裁；</w:t>
      </w:r>
    </w:p>
    <w:p w14:paraId="331AECEE">
      <w:pPr>
        <w:spacing w:line="46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（2）向人民法院起诉。</w:t>
      </w:r>
      <w:bookmarkEnd w:id="616"/>
      <w:bookmarkEnd w:id="617"/>
      <w:bookmarkEnd w:id="618"/>
      <w:bookmarkEnd w:id="619"/>
      <w:bookmarkEnd w:id="620"/>
      <w:bookmarkEnd w:id="621"/>
    </w:p>
    <w:p w14:paraId="139C8CEA">
      <w:pPr>
        <w:spacing w:line="4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p>
    <w:p w14:paraId="34E81057">
      <w:pPr>
        <w:spacing w:line="4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br w:type="page"/>
      </w:r>
      <w:r>
        <w:rPr>
          <w:rFonts w:hint="eastAsia" w:ascii="仿宋" w:hAnsi="仿宋" w:eastAsia="仿宋" w:cs="仿宋"/>
          <w:b/>
          <w:bCs/>
          <w:color w:val="000000" w:themeColor="text1"/>
          <w:kern w:val="0"/>
          <w:sz w:val="24"/>
          <w:szCs w:val="24"/>
          <w:highlight w:val="none"/>
          <w14:textFill>
            <w14:solidFill>
              <w14:schemeClr w14:val="tx1"/>
            </w14:solidFill>
          </w14:textFill>
        </w:rPr>
        <w:t>附</w:t>
      </w:r>
      <w:bookmarkStart w:id="649" w:name="_Toc296347225"/>
      <w:bookmarkStart w:id="650" w:name="_Toc296944565"/>
      <w:bookmarkStart w:id="651" w:name="_Toc296891054"/>
      <w:bookmarkStart w:id="652" w:name="_Toc296503226"/>
      <w:bookmarkStart w:id="653" w:name="_Toc267261693"/>
      <w:bookmarkStart w:id="654" w:name="_Toc296346727"/>
      <w:bookmarkStart w:id="655" w:name="_Toc296891266"/>
      <w:r>
        <w:rPr>
          <w:rFonts w:hint="eastAsia" w:ascii="仿宋" w:hAnsi="仿宋" w:eastAsia="仿宋" w:cs="仿宋"/>
          <w:b/>
          <w:bCs/>
          <w:color w:val="000000" w:themeColor="text1"/>
          <w:kern w:val="0"/>
          <w:sz w:val="24"/>
          <w:szCs w:val="24"/>
          <w:highlight w:val="none"/>
          <w14:textFill>
            <w14:solidFill>
              <w14:schemeClr w14:val="tx1"/>
            </w14:solidFill>
          </w14:textFill>
        </w:rPr>
        <w:t>件3：</w:t>
      </w:r>
      <w:bookmarkEnd w:id="649"/>
      <w:bookmarkEnd w:id="650"/>
      <w:bookmarkEnd w:id="651"/>
      <w:bookmarkEnd w:id="652"/>
      <w:bookmarkEnd w:id="653"/>
      <w:bookmarkEnd w:id="654"/>
      <w:bookmarkEnd w:id="655"/>
    </w:p>
    <w:p w14:paraId="65ABE4C4">
      <w:pPr>
        <w:spacing w:before="120" w:beforeLines="50" w:after="120" w:afterLines="50" w:line="360" w:lineRule="auto"/>
        <w:ind w:firstLine="482" w:firstLineChars="20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工程质量保修书</w:t>
      </w:r>
    </w:p>
    <w:p w14:paraId="7C06D1A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发包人（全称）：</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洛阳市偃师区府店镇人民政府</w:t>
      </w:r>
    </w:p>
    <w:p w14:paraId="7FD2C51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承包人（全称）：</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河南天铭建设工程有限公司</w:t>
      </w:r>
    </w:p>
    <w:p w14:paraId="5EB78DC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66905E4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发包人和承包人根据《中华人民共和国建筑法》和《建设工程质量管理条例》，经协商一致就（工程全称）签订工程质量保修书。</w:t>
      </w:r>
    </w:p>
    <w:p w14:paraId="62FBDE5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56" w:name="_Toc14901"/>
      <w:r>
        <w:rPr>
          <w:rFonts w:hint="eastAsia" w:ascii="仿宋" w:hAnsi="仿宋" w:eastAsia="仿宋" w:cs="仿宋"/>
          <w:color w:val="000000" w:themeColor="text1"/>
          <w:sz w:val="24"/>
          <w:szCs w:val="24"/>
          <w:highlight w:val="none"/>
          <w14:textFill>
            <w14:solidFill>
              <w14:schemeClr w14:val="tx1"/>
            </w14:solidFill>
          </w14:textFill>
        </w:rPr>
        <w:t>一、工程质量保修范围和内容</w:t>
      </w:r>
      <w:bookmarkEnd w:id="656"/>
    </w:p>
    <w:p w14:paraId="143D793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承包人在质量保修期内，按照有关法律规定和合同约定，承担工程质量保修责任。质量保修范围包括</w:t>
      </w:r>
      <w:r>
        <w:rPr>
          <w:rFonts w:hint="eastAsia" w:ascii="仿宋" w:hAnsi="仿宋" w:eastAsia="仿宋" w:cs="仿宋"/>
          <w:color w:val="000000" w:themeColor="text1"/>
          <w:sz w:val="24"/>
          <w:szCs w:val="24"/>
          <w:highlight w:val="none"/>
          <w:lang w:val="en-US" w:eastAsia="zh-CN"/>
          <w14:textFill>
            <w14:solidFill>
              <w14:schemeClr w14:val="tx1"/>
            </w14:solidFill>
          </w14:textFill>
        </w:rPr>
        <w:t>合同工程全部项目，保修期为</w:t>
      </w:r>
      <w:r>
        <w:rPr>
          <w:rFonts w:hint="eastAsia" w:ascii="仿宋" w:hAnsi="仿宋" w:eastAsia="仿宋" w:cs="仿宋"/>
          <w:color w:val="000000" w:themeColor="text1"/>
          <w:sz w:val="24"/>
          <w:szCs w:val="24"/>
          <w:highlight w:val="none"/>
          <w14:textFill>
            <w14:solidFill>
              <w14:schemeClr w14:val="tx1"/>
            </w14:solidFill>
          </w14:textFill>
        </w:rPr>
        <w:t>为设计文件规定的工程合理使用年限</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质量保修期自工程竣工验收合格之日起计算。</w:t>
      </w:r>
    </w:p>
    <w:p w14:paraId="5CBBD35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57" w:name="_Toc4257"/>
      <w:r>
        <w:rPr>
          <w:rFonts w:hint="eastAsia" w:ascii="仿宋" w:hAnsi="仿宋" w:eastAsia="仿宋" w:cs="仿宋"/>
          <w:color w:val="000000" w:themeColor="text1"/>
          <w:sz w:val="24"/>
          <w:szCs w:val="24"/>
          <w:highlight w:val="none"/>
          <w14:textFill>
            <w14:solidFill>
              <w14:schemeClr w14:val="tx1"/>
            </w14:solidFill>
          </w14:textFill>
        </w:rPr>
        <w:t>三、缺陷责任期</w:t>
      </w:r>
      <w:bookmarkEnd w:id="657"/>
    </w:p>
    <w:p w14:paraId="04E3528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工程缺陷责任期为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个月，缺陷责任期自工程通过竣工验收之日起计算。单位工程先于全部工程进行验收，单位工程缺陷责任期自单位工程验收合格之日起算。</w:t>
      </w:r>
    </w:p>
    <w:p w14:paraId="2071202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缺陷责任期终止后，发包人应退还剩余的质量保证金。</w:t>
      </w:r>
    </w:p>
    <w:p w14:paraId="396570E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58" w:name="_Toc15565"/>
      <w:r>
        <w:rPr>
          <w:rFonts w:hint="eastAsia" w:ascii="仿宋" w:hAnsi="仿宋" w:eastAsia="仿宋" w:cs="仿宋"/>
          <w:color w:val="000000" w:themeColor="text1"/>
          <w:sz w:val="24"/>
          <w:szCs w:val="24"/>
          <w:highlight w:val="none"/>
          <w14:textFill>
            <w14:solidFill>
              <w14:schemeClr w14:val="tx1"/>
            </w14:solidFill>
          </w14:textFill>
        </w:rPr>
        <w:t>四、质量保修责任</w:t>
      </w:r>
      <w:bookmarkEnd w:id="658"/>
    </w:p>
    <w:p w14:paraId="47EFA5B6">
      <w:pPr>
        <w:spacing w:line="360" w:lineRule="auto"/>
        <w:ind w:left="105" w:leftChars="5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51C13014">
      <w:pPr>
        <w:spacing w:line="360" w:lineRule="auto"/>
        <w:ind w:left="105" w:leftChars="5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2．发生紧急事故需抢修的，承包人在接到事故通知后，应当立即到达事故现场抢修。</w:t>
      </w:r>
    </w:p>
    <w:p w14:paraId="334B128F">
      <w:pPr>
        <w:spacing w:line="360" w:lineRule="auto"/>
        <w:ind w:left="105" w:leftChars="5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65CF49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4．质量保修完成后，由发包人组织验收。</w:t>
      </w:r>
    </w:p>
    <w:p w14:paraId="623BBE7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59" w:name="_Toc20954"/>
      <w:r>
        <w:rPr>
          <w:rFonts w:hint="eastAsia" w:ascii="仿宋" w:hAnsi="仿宋" w:eastAsia="仿宋" w:cs="仿宋"/>
          <w:color w:val="000000" w:themeColor="text1"/>
          <w:sz w:val="24"/>
          <w:szCs w:val="24"/>
          <w:highlight w:val="none"/>
          <w14:textFill>
            <w14:solidFill>
              <w14:schemeClr w14:val="tx1"/>
            </w14:solidFill>
          </w14:textFill>
        </w:rPr>
        <w:t>五、保修费用</w:t>
      </w:r>
      <w:bookmarkEnd w:id="659"/>
    </w:p>
    <w:p w14:paraId="41B5844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保修费用由造成质量缺陷的责任方承担。</w:t>
      </w:r>
    </w:p>
    <w:p w14:paraId="169625E5">
      <w:pPr>
        <w:numPr>
          <w:ilvl w:val="0"/>
          <w:numId w:val="1"/>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660" w:name="_Toc6898"/>
      <w:r>
        <w:rPr>
          <w:rFonts w:hint="eastAsia" w:ascii="仿宋" w:hAnsi="仿宋" w:eastAsia="仿宋" w:cs="仿宋"/>
          <w:color w:val="000000" w:themeColor="text1"/>
          <w:sz w:val="24"/>
          <w:szCs w:val="24"/>
          <w:highlight w:val="none"/>
          <w14:textFill>
            <w14:solidFill>
              <w14:schemeClr w14:val="tx1"/>
            </w14:solidFill>
          </w14:textFill>
        </w:rPr>
        <w:t>双方约定的其他工程质量保修事项：</w:t>
      </w:r>
      <w:bookmarkEnd w:id="660"/>
    </w:p>
    <w:p w14:paraId="0DD4BBC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工程质量保修书由发包人、承包人在工程竣工验收前共同签署，作为施工合同附件，其有效期限至保修期满。</w:t>
      </w:r>
    </w:p>
    <w:p w14:paraId="7C01A49D">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3A79CD39">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07FDE4EF">
      <w:pPr>
        <w:spacing w:line="360" w:lineRule="auto"/>
        <w:ind w:left="6239" w:leftChars="228" w:hanging="5760" w:hangingChars="24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发包人(公章)：</w:t>
      </w:r>
      <w:r>
        <w:rPr>
          <w:rFonts w:hint="eastAsia" w:ascii="仿宋" w:hAnsi="仿宋" w:eastAsia="仿宋" w:cs="仿宋"/>
          <w:color w:val="000000" w:themeColor="text1"/>
          <w:sz w:val="24"/>
          <w:highlight w:val="none"/>
          <w:u w:val="single"/>
          <w14:textFill>
            <w14:solidFill>
              <w14:schemeClr w14:val="tx1"/>
            </w14:solidFill>
          </w14:textFill>
        </w:rPr>
        <w:t xml:space="preserve">            </w:t>
      </w:r>
      <w:r>
        <w:rPr>
          <w:rFonts w:hint="eastAsia" w:ascii="仿宋" w:hAnsi="仿宋" w:eastAsia="仿宋" w:cs="仿宋"/>
          <w:color w:val="000000" w:themeColor="text1"/>
          <w:sz w:val="24"/>
          <w:highlight w:val="none"/>
          <w14:textFill>
            <w14:solidFill>
              <w14:schemeClr w14:val="tx1"/>
            </w14:solidFill>
          </w14:textFill>
        </w:rPr>
        <w:t xml:space="preserve">   承包人(公章)：</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u w:val="single"/>
          <w:lang w:val="en-US" w:eastAsia="zh-CN"/>
          <w14:textFill>
            <w14:solidFill>
              <w14:schemeClr w14:val="tx1"/>
            </w14:solidFill>
          </w14:textFill>
        </w:rPr>
        <w:t>河南天铭建设工程有限公司</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4852F577">
      <w:pPr>
        <w:spacing w:line="460" w:lineRule="exact"/>
        <w:ind w:left="5280" w:hanging="5280" w:hangingChars="220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w:t>
      </w:r>
      <w:r>
        <w:rPr>
          <w:rFonts w:hint="eastAsia" w:ascii="仿宋" w:hAnsi="仿宋" w:eastAsia="仿宋" w:cs="仿宋"/>
          <w:color w:val="000000" w:themeColor="text1"/>
          <w:sz w:val="24"/>
          <w:highlight w:val="none"/>
          <w:u w:val="single"/>
          <w14:textFill>
            <w14:solidFill>
              <w14:schemeClr w14:val="tx1"/>
            </w14:solidFill>
          </w14:textFill>
        </w:rPr>
        <w:t xml:space="preserve">          </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地  址：</w:t>
      </w:r>
      <w:r>
        <w:rPr>
          <w:rFonts w:hint="eastAsia" w:ascii="仿宋" w:hAnsi="仿宋" w:eastAsia="仿宋" w:cs="仿宋"/>
          <w:color w:val="000000" w:themeColor="text1"/>
          <w:sz w:val="24"/>
          <w:highlight w:val="none"/>
          <w:lang w:val="en-US" w:eastAsia="zh-CN"/>
          <w14:textFill>
            <w14:solidFill>
              <w14:schemeClr w14:val="tx1"/>
            </w14:solidFill>
          </w14:textFill>
        </w:rPr>
        <w:t>安阳市殷都区钢三路北段路东梅园街道办四楼4339室</w:t>
      </w:r>
    </w:p>
    <w:p w14:paraId="2A5A8B24">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27D48F91">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法定代表人(签字)：</w:t>
      </w:r>
      <w:r>
        <w:rPr>
          <w:rFonts w:hint="eastAsia" w:ascii="仿宋" w:hAnsi="仿宋" w:eastAsia="仿宋" w:cs="仿宋"/>
          <w:color w:val="000000" w:themeColor="text1"/>
          <w:sz w:val="24"/>
          <w:highlight w:val="none"/>
          <w:u w:val="single"/>
          <w14:textFill>
            <w14:solidFill>
              <w14:schemeClr w14:val="tx1"/>
            </w14:solidFill>
          </w14:textFill>
        </w:rPr>
        <w:t>          </w:t>
      </w:r>
      <w:r>
        <w:rPr>
          <w:rFonts w:hint="eastAsia" w:ascii="仿宋" w:hAnsi="仿宋" w:eastAsia="仿宋" w:cs="仿宋"/>
          <w:color w:val="000000" w:themeColor="text1"/>
          <w:sz w:val="24"/>
          <w:highlight w:val="none"/>
          <w14:textFill>
            <w14:solidFill>
              <w14:schemeClr w14:val="tx1"/>
            </w14:solidFill>
          </w14:textFill>
        </w:rPr>
        <w:t xml:space="preserve">   法定代表人(签字)：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0654FE03">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6ADC97CC">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661" w:name="_GoBack"/>
      <w:bookmarkEnd w:id="661"/>
      <w:r>
        <w:rPr>
          <w:rFonts w:hint="eastAsia" w:ascii="仿宋" w:hAnsi="仿宋" w:eastAsia="仿宋" w:cs="仿宋"/>
          <w:color w:val="000000" w:themeColor="text1"/>
          <w:sz w:val="24"/>
          <w:highlight w:val="none"/>
          <w14:textFill>
            <w14:solidFill>
              <w14:schemeClr w14:val="tx1"/>
            </w14:solidFill>
          </w14:textFill>
        </w:rPr>
        <w:t>委托代理人(签字)：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委托代理人(签字)：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337E5AC9">
      <w:pPr>
        <w:spacing w:line="360" w:lineRule="auto"/>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  话：</w:t>
      </w:r>
      <w:r>
        <w:rPr>
          <w:rFonts w:hint="eastAsia" w:ascii="仿宋" w:hAnsi="仿宋" w:eastAsia="仿宋" w:cs="仿宋"/>
          <w:color w:val="000000" w:themeColor="text1"/>
          <w:sz w:val="24"/>
          <w:highlight w:val="none"/>
          <w:u w:val="single"/>
          <w14:textFill>
            <w14:solidFill>
              <w14:schemeClr w14:val="tx1"/>
            </w14:solidFill>
          </w14:textFill>
        </w:rPr>
        <w:t xml:space="preserve">        </w:t>
      </w:r>
      <w:r>
        <w:rPr>
          <w:rFonts w:hint="eastAsia" w:ascii="仿宋" w:hAnsi="仿宋" w:eastAsia="仿宋" w:cs="仿宋"/>
          <w:color w:val="000000" w:themeColor="text1"/>
          <w:sz w:val="24"/>
          <w:highlight w:val="none"/>
          <w14:textFill>
            <w14:solidFill>
              <w14:schemeClr w14:val="tx1"/>
            </w14:solidFill>
          </w14:textFill>
        </w:rPr>
        <w:t xml:space="preserve">   电  话：</w:t>
      </w:r>
      <w:r>
        <w:rPr>
          <w:rFonts w:hint="eastAsia" w:ascii="仿宋" w:hAnsi="仿宋" w:eastAsia="仿宋" w:cs="仿宋"/>
          <w:color w:val="000000" w:themeColor="text1"/>
          <w:sz w:val="24"/>
          <w:highlight w:val="none"/>
          <w:u w:val="single"/>
          <w14:textFill>
            <w14:solidFill>
              <w14:schemeClr w14:val="tx1"/>
            </w14:solidFill>
          </w14:textFill>
        </w:rPr>
        <w:t>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29C1AFEF">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传  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传  真：</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   </w:t>
      </w:r>
    </w:p>
    <w:p w14:paraId="05133ED4">
      <w:pPr>
        <w:spacing w:line="460" w:lineRule="exact"/>
        <w:ind w:left="5999" w:leftChars="228" w:hanging="5520" w:hangingChars="2300"/>
        <w:rPr>
          <w:rFonts w:hint="default"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开户银行：</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开户银行：</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0DB3B32F">
      <w:pPr>
        <w:spacing w:line="360" w:lineRule="auto"/>
        <w:ind w:firstLine="480" w:firstLineChars="200"/>
        <w:rPr>
          <w:rFonts w:hint="default"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账  号：</w:t>
      </w:r>
      <w:r>
        <w:rPr>
          <w:rFonts w:hint="eastAsia" w:ascii="仿宋" w:hAnsi="仿宋" w:eastAsia="仿宋" w:cs="仿宋"/>
          <w:color w:val="000000" w:themeColor="text1"/>
          <w:sz w:val="24"/>
          <w:highlight w:val="none"/>
          <w:u w:val="single"/>
          <w14:textFill>
            <w14:solidFill>
              <w14:schemeClr w14:val="tx1"/>
            </w14:solidFill>
          </w14:textFill>
        </w:rPr>
        <w:t xml:space="preserve">            </w:t>
      </w:r>
      <w:r>
        <w:rPr>
          <w:rFonts w:hint="eastAsia" w:ascii="仿宋" w:hAnsi="仿宋" w:eastAsia="仿宋" w:cs="仿宋"/>
          <w:color w:val="000000" w:themeColor="text1"/>
          <w:sz w:val="24"/>
          <w:highlight w:val="none"/>
          <w14:textFill>
            <w14:solidFill>
              <w14:schemeClr w14:val="tx1"/>
            </w14:solidFill>
          </w14:textFill>
        </w:rPr>
        <w:t xml:space="preserve">   账 号：</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5E287367">
      <w:pPr>
        <w:spacing w:line="360" w:lineRule="auto"/>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邮政编码：</w:t>
      </w:r>
      <w:r>
        <w:rPr>
          <w:rFonts w:hint="eastAsia" w:ascii="仿宋" w:hAnsi="仿宋" w:eastAsia="仿宋" w:cs="仿宋"/>
          <w:color w:val="000000" w:themeColor="text1"/>
          <w:sz w:val="24"/>
          <w:highlight w:val="none"/>
          <w:u w:val="single"/>
          <w14:textFill>
            <w14:solidFill>
              <w14:schemeClr w14:val="tx1"/>
            </w14:solidFill>
          </w14:textFill>
        </w:rPr>
        <w:t xml:space="preserve">          </w:t>
      </w:r>
      <w:r>
        <w:rPr>
          <w:rFonts w:hint="eastAsia" w:ascii="仿宋" w:hAnsi="仿宋" w:eastAsia="仿宋" w:cs="仿宋"/>
          <w:color w:val="000000" w:themeColor="text1"/>
          <w:sz w:val="24"/>
          <w:highlight w:val="none"/>
          <w14:textFill>
            <w14:solidFill>
              <w14:schemeClr w14:val="tx1"/>
            </w14:solidFill>
          </w14:textFill>
        </w:rPr>
        <w:t xml:space="preserve">   邮政编码：</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5EF70C20">
      <w:pPr>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98AD98"/>
    <w:multiLevelType w:val="singleLevel"/>
    <w:tmpl w:val="5A98AD9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ODE3YTQ1MDk5YmVkNDMwOTQzYTAzYmM3ZTc3NjMifQ=="/>
  </w:docVars>
  <w:rsids>
    <w:rsidRoot w:val="17C0331E"/>
    <w:rsid w:val="01B04C17"/>
    <w:rsid w:val="028F5B4A"/>
    <w:rsid w:val="0908163E"/>
    <w:rsid w:val="0CFF0F1B"/>
    <w:rsid w:val="0DF5017E"/>
    <w:rsid w:val="0F5117D6"/>
    <w:rsid w:val="10DB5BF6"/>
    <w:rsid w:val="11C65233"/>
    <w:rsid w:val="15B10F50"/>
    <w:rsid w:val="17C0331E"/>
    <w:rsid w:val="198F15C6"/>
    <w:rsid w:val="22F866E1"/>
    <w:rsid w:val="2CF577ED"/>
    <w:rsid w:val="2D015AA6"/>
    <w:rsid w:val="336741F5"/>
    <w:rsid w:val="341D5FA7"/>
    <w:rsid w:val="34313062"/>
    <w:rsid w:val="376D0FF4"/>
    <w:rsid w:val="3FF15AE4"/>
    <w:rsid w:val="46FE1B87"/>
    <w:rsid w:val="4E590189"/>
    <w:rsid w:val="51EE0B2B"/>
    <w:rsid w:val="56E12B60"/>
    <w:rsid w:val="579078EC"/>
    <w:rsid w:val="5BB85C9D"/>
    <w:rsid w:val="618A021C"/>
    <w:rsid w:val="624337C3"/>
    <w:rsid w:val="631A71F2"/>
    <w:rsid w:val="638D72B6"/>
    <w:rsid w:val="63A57B87"/>
    <w:rsid w:val="646F24B7"/>
    <w:rsid w:val="660B63D5"/>
    <w:rsid w:val="66793306"/>
    <w:rsid w:val="67D51909"/>
    <w:rsid w:val="76037E52"/>
    <w:rsid w:val="77922B21"/>
    <w:rsid w:val="77CD0717"/>
    <w:rsid w:val="79BC4EE7"/>
    <w:rsid w:val="7BD03BAC"/>
    <w:rsid w:val="7FFE7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Times New Roman" w:eastAsia="宋体"/>
      <w:sz w:val="30"/>
      <w:szCs w:val="2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kern w:val="2"/>
      <w:sz w:val="32"/>
      <w:szCs w:val="32"/>
      <w:lang w:val="en-US" w:eastAsia="zh-CN" w:bidi="ar-SA"/>
    </w:rPr>
  </w:style>
  <w:style w:type="paragraph" w:styleId="4">
    <w:name w:val="heading 3"/>
    <w:basedOn w:val="1"/>
    <w:next w:val="1"/>
    <w:qFormat/>
    <w:uiPriority w:val="0"/>
    <w:pPr>
      <w:keepNext/>
      <w:keepLines/>
      <w:spacing w:before="260" w:beforeLines="0" w:after="260" w:afterLines="0" w:line="416" w:lineRule="auto"/>
      <w:outlineLvl w:val="2"/>
    </w:pPr>
    <w:rPr>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正文_0"/>
    <w:basedOn w:val="10"/>
    <w:next w:val="10"/>
    <w:autoRedefine/>
    <w:qFormat/>
    <w:uiPriority w:val="0"/>
    <w:pPr>
      <w:widowControl/>
      <w:ind w:firstLine="482"/>
    </w:pPr>
    <w:rPr>
      <w:rFonts w:ascii="微软雅黑" w:hAnsi="微软雅黑" w:eastAsia="微软雅黑" w:cs="Times New Roman"/>
      <w:kern w:val="2"/>
      <w:sz w:val="21"/>
      <w:szCs w:val="22"/>
    </w:rPr>
  </w:style>
  <w:style w:type="paragraph" w:customStyle="1" w:styleId="10">
    <w:name w:val="正文_2"/>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6416</Words>
  <Characters>7068</Characters>
  <Lines>0</Lines>
  <Paragraphs>0</Paragraphs>
  <TotalTime>28</TotalTime>
  <ScaleCrop>false</ScaleCrop>
  <LinksUpToDate>false</LinksUpToDate>
  <CharactersWithSpaces>9831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2023-09-01T02:56:00Z</dcterms:created>
  <dc:creator>点点豆豆</dc:creator>
  <cp:lastModifiedBy>種诚</cp:lastModifiedBy>
  <cp:lastPrinted>2024-10-17T07:24:00Z</cp:lastPrinted>
  <dcterms:modified xsi:type="dcterms:W3CDTF">2025-12-03T03:46:39Z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3DD4FA0D099B40AEA18E24B18727ED51_13</vt:lpwstr>
  </property>
  <property fmtid="{D5CDD505-2E9C-101B-9397-08002B2CF9AE}" pid="4" name="KSOTemplateDocerSaveRecord">
    <vt:lpwstr>eyJoZGlkIjoiMDBiODE3YTQ1MDk5YmVkNDMwOTQzYTAzYmM3ZTc3NjMiLCJ1c2VySWQiOiI0MjU0NDU0NjAifQ==</vt:lpwstr>
  </property>
</Properties>
</file>