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E0194">
      <w:pPr>
        <w:pageBreakBefore w:val="0"/>
        <w:kinsoku/>
        <w:overflowPunct/>
        <w:topLinePunct w:val="0"/>
        <w:bidi w:val="0"/>
        <w:spacing w:line="560" w:lineRule="exact"/>
        <w:jc w:val="center"/>
        <w:outlineLvl w:val="9"/>
        <w:rPr>
          <w:rFonts w:hint="eastAsia" w:ascii="宋体" w:hAnsi="宋体" w:eastAsia="宋体" w:cs="宋体"/>
          <w:b/>
          <w:color w:val="auto"/>
          <w:sz w:val="56"/>
          <w:szCs w:val="56"/>
          <w:highlight w:val="none"/>
        </w:rPr>
      </w:pPr>
      <w:bookmarkStart w:id="1363" w:name="_GoBack"/>
      <w:bookmarkEnd w:id="1363"/>
    </w:p>
    <w:p w14:paraId="11D9F23C">
      <w:pPr>
        <w:jc w:val="center"/>
        <w:rPr>
          <w:rFonts w:hint="eastAsia" w:ascii="宋体" w:hAnsi="宋体" w:eastAsia="宋体" w:cs="宋体"/>
          <w:b/>
          <w:bCs/>
          <w:i w:val="0"/>
          <w:iCs w:val="0"/>
          <w:caps w:val="0"/>
          <w:color w:val="auto"/>
          <w:spacing w:val="0"/>
          <w:sz w:val="36"/>
          <w:szCs w:val="36"/>
          <w:highlight w:val="none"/>
        </w:rPr>
      </w:pPr>
      <w:r>
        <w:rPr>
          <w:rFonts w:hint="eastAsia" w:ascii="宋体" w:hAnsi="宋体" w:eastAsia="宋体" w:cs="宋体"/>
          <w:b/>
          <w:bCs/>
          <w:i w:val="0"/>
          <w:iCs w:val="0"/>
          <w:caps w:val="0"/>
          <w:color w:val="auto"/>
          <w:spacing w:val="0"/>
          <w:sz w:val="48"/>
          <w:szCs w:val="48"/>
          <w:highlight w:val="none"/>
          <w:lang w:eastAsia="zh-CN"/>
        </w:rPr>
        <w:t>文博城大剧院老旧设施设备维修改造项目</w:t>
      </w:r>
    </w:p>
    <w:p w14:paraId="73C435FE">
      <w:pPr>
        <w:rPr>
          <w:rFonts w:hint="eastAsia" w:ascii="宋体" w:hAnsi="宋体" w:eastAsia="宋体" w:cs="宋体"/>
          <w:b/>
          <w:bCs/>
          <w:i w:val="0"/>
          <w:iCs w:val="0"/>
          <w:caps w:val="0"/>
          <w:color w:val="auto"/>
          <w:spacing w:val="0"/>
          <w:sz w:val="36"/>
          <w:szCs w:val="36"/>
          <w:highlight w:val="none"/>
        </w:rPr>
      </w:pPr>
    </w:p>
    <w:p w14:paraId="3B9A691E">
      <w:pPr>
        <w:pStyle w:val="38"/>
        <w:rPr>
          <w:rFonts w:hint="eastAsia"/>
          <w:color w:val="auto"/>
          <w:highlight w:val="none"/>
        </w:rPr>
      </w:pPr>
    </w:p>
    <w:p w14:paraId="5EC47A02">
      <w:pPr>
        <w:pageBreakBefore w:val="0"/>
        <w:kinsoku/>
        <w:overflowPunct/>
        <w:topLinePunct w:val="0"/>
        <w:bidi w:val="0"/>
        <w:spacing w:line="480" w:lineRule="auto"/>
        <w:jc w:val="center"/>
        <w:outlineLvl w:val="0"/>
        <w:rPr>
          <w:rFonts w:hint="eastAsia" w:ascii="宋体" w:hAnsi="宋体" w:eastAsia="宋体" w:cs="宋体"/>
          <w:b/>
          <w:color w:val="auto"/>
          <w:sz w:val="72"/>
          <w:szCs w:val="72"/>
          <w:highlight w:val="none"/>
          <w:lang w:eastAsia="zh-CN"/>
        </w:rPr>
      </w:pPr>
      <w:bookmarkStart w:id="0" w:name="_Toc8601"/>
      <w:bookmarkStart w:id="1" w:name="_Toc17313"/>
      <w:r>
        <w:rPr>
          <w:rFonts w:hint="eastAsia" w:ascii="宋体" w:hAnsi="宋体" w:eastAsia="宋体" w:cs="宋体"/>
          <w:b/>
          <w:color w:val="auto"/>
          <w:sz w:val="72"/>
          <w:szCs w:val="72"/>
          <w:highlight w:val="none"/>
          <w:lang w:eastAsia="zh-CN"/>
        </w:rPr>
        <w:t>竞争性磋商文件</w:t>
      </w:r>
      <w:bookmarkEnd w:id="0"/>
      <w:bookmarkEnd w:id="1"/>
    </w:p>
    <w:p w14:paraId="4288A04A">
      <w:pPr>
        <w:pageBreakBefore w:val="0"/>
        <w:kinsoku/>
        <w:overflowPunct/>
        <w:topLinePunct w:val="0"/>
        <w:bidi w:val="0"/>
        <w:spacing w:line="480" w:lineRule="auto"/>
        <w:jc w:val="center"/>
        <w:outlineLvl w:val="0"/>
        <w:rPr>
          <w:rFonts w:hint="eastAsia" w:hAnsi="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项目编号：</w:t>
      </w:r>
      <w:r>
        <w:rPr>
          <w:rFonts w:hint="eastAsia" w:hAnsi="宋体" w:cs="宋体"/>
          <w:b/>
          <w:bCs/>
          <w:color w:val="auto"/>
          <w:sz w:val="28"/>
          <w:szCs w:val="28"/>
          <w:highlight w:val="none"/>
          <w:lang w:val="en-US" w:eastAsia="zh-CN"/>
        </w:rPr>
        <w:t>三财竞磋采购-2025-61</w:t>
      </w:r>
    </w:p>
    <w:p w14:paraId="1E7E33A7">
      <w:pPr>
        <w:pageBreakBefore w:val="0"/>
        <w:kinsoku/>
        <w:overflowPunct/>
        <w:topLinePunct w:val="0"/>
        <w:bidi w:val="0"/>
        <w:spacing w:line="480" w:lineRule="auto"/>
        <w:jc w:val="center"/>
        <w:outlineLvl w:val="0"/>
        <w:rPr>
          <w:rFonts w:hint="eastAsia" w:hAnsi="宋体" w:cs="宋体"/>
          <w:b/>
          <w:bCs/>
          <w:color w:val="auto"/>
          <w:sz w:val="28"/>
          <w:szCs w:val="28"/>
          <w:highlight w:val="none"/>
          <w:lang w:val="en-US" w:eastAsia="zh-CN"/>
        </w:rPr>
      </w:pPr>
      <w:r>
        <w:rPr>
          <w:rFonts w:hint="eastAsia" w:hAnsi="宋体" w:cs="宋体"/>
          <w:b/>
          <w:bCs/>
          <w:color w:val="auto"/>
          <w:sz w:val="28"/>
          <w:szCs w:val="28"/>
          <w:highlight w:val="none"/>
          <w:lang w:val="en-US" w:eastAsia="zh-CN"/>
        </w:rPr>
        <w:t xml:space="preserve">          SGZ[2025]377-ZC260</w:t>
      </w:r>
    </w:p>
    <w:p w14:paraId="5D676D66">
      <w:pPr>
        <w:pageBreakBefore w:val="0"/>
        <w:kinsoku/>
        <w:overflowPunct/>
        <w:topLinePunct w:val="0"/>
        <w:bidi w:val="0"/>
        <w:spacing w:line="480" w:lineRule="auto"/>
        <w:jc w:val="center"/>
        <w:outlineLvl w:val="0"/>
        <w:rPr>
          <w:rFonts w:hint="eastAsia" w:ascii="宋体" w:hAnsi="宋体" w:eastAsia="宋体" w:cs="宋体"/>
          <w:b/>
          <w:color w:val="auto"/>
          <w:sz w:val="28"/>
          <w:szCs w:val="28"/>
          <w:highlight w:val="none"/>
          <w:lang w:eastAsia="zh-CN"/>
        </w:rPr>
      </w:pPr>
    </w:p>
    <w:p w14:paraId="1D24DDBE">
      <w:pPr>
        <w:pStyle w:val="38"/>
        <w:pageBreakBefore w:val="0"/>
        <w:kinsoku/>
        <w:overflowPunct/>
        <w:topLinePunct w:val="0"/>
        <w:bidi w:val="0"/>
        <w:outlineLvl w:val="9"/>
        <w:rPr>
          <w:rFonts w:hint="eastAsia"/>
          <w:color w:val="auto"/>
          <w:highlight w:val="none"/>
        </w:rPr>
      </w:pPr>
    </w:p>
    <w:p w14:paraId="2A648D55">
      <w:pPr>
        <w:pageBreakBefore w:val="0"/>
        <w:kinsoku/>
        <w:overflowPunct/>
        <w:topLinePunct w:val="0"/>
        <w:bidi w:val="0"/>
        <w:jc w:val="center"/>
        <w:outlineLvl w:val="9"/>
        <w:rPr>
          <w:rFonts w:hint="eastAsia" w:ascii="宋体" w:hAnsi="宋体" w:eastAsia="宋体" w:cs="宋体"/>
          <w:bCs/>
          <w:color w:val="auto"/>
          <w:sz w:val="28"/>
          <w:szCs w:val="28"/>
          <w:highlight w:val="none"/>
        </w:rPr>
      </w:pPr>
      <w:r>
        <w:rPr>
          <w:rFonts w:hint="eastAsia" w:ascii="宋体" w:hAnsi="宋体" w:eastAsia="宋体" w:cs="宋体"/>
          <w:b/>
          <w:bCs/>
          <w:color w:val="auto"/>
          <w:szCs w:val="10"/>
          <w:highlight w:val="none"/>
        </w:rPr>
        <w:drawing>
          <wp:inline distT="0" distB="0" distL="0" distR="0">
            <wp:extent cx="1968500" cy="2113915"/>
            <wp:effectExtent l="0" t="0" r="12700" b="63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noChangeArrowheads="1"/>
                    </pic:cNvPicPr>
                  </pic:nvPicPr>
                  <pic:blipFill>
                    <a:blip r:embed="rId10" cstate="print"/>
                    <a:srcRect/>
                    <a:stretch>
                      <a:fillRect/>
                    </a:stretch>
                  </pic:blipFill>
                  <pic:spPr>
                    <a:xfrm>
                      <a:off x="0" y="0"/>
                      <a:ext cx="1968500" cy="2113915"/>
                    </a:xfrm>
                    <a:prstGeom prst="rect">
                      <a:avLst/>
                    </a:prstGeom>
                    <a:noFill/>
                    <a:ln w="9525">
                      <a:noFill/>
                      <a:miter lim="800000"/>
                      <a:headEnd/>
                      <a:tailEnd/>
                    </a:ln>
                  </pic:spPr>
                </pic:pic>
              </a:graphicData>
            </a:graphic>
          </wp:inline>
        </w:drawing>
      </w:r>
    </w:p>
    <w:p w14:paraId="34A244BA">
      <w:pPr>
        <w:pageBreakBefore w:val="0"/>
        <w:kinsoku/>
        <w:overflowPunct/>
        <w:topLinePunct w:val="0"/>
        <w:bidi w:val="0"/>
        <w:outlineLvl w:val="9"/>
        <w:rPr>
          <w:rFonts w:hint="eastAsia" w:ascii="宋体" w:hAnsi="宋体" w:eastAsia="宋体" w:cs="宋体"/>
          <w:color w:val="auto"/>
          <w:sz w:val="28"/>
          <w:szCs w:val="28"/>
          <w:highlight w:val="none"/>
        </w:rPr>
      </w:pPr>
    </w:p>
    <w:p w14:paraId="61397885">
      <w:pPr>
        <w:pStyle w:val="21"/>
        <w:ind w:left="0" w:leftChars="0" w:firstLine="0" w:firstLineChars="0"/>
        <w:rPr>
          <w:rFonts w:hint="eastAsia" w:ascii="宋体" w:hAnsi="宋体" w:eastAsia="宋体" w:cs="宋体"/>
          <w:color w:val="auto"/>
          <w:sz w:val="28"/>
          <w:szCs w:val="28"/>
          <w:highlight w:val="none"/>
        </w:rPr>
      </w:pPr>
    </w:p>
    <w:p w14:paraId="6286749C">
      <w:pPr>
        <w:pStyle w:val="21"/>
        <w:ind w:left="0" w:leftChars="0" w:firstLine="0" w:firstLineChars="0"/>
        <w:rPr>
          <w:rFonts w:hint="eastAsia" w:ascii="宋体" w:hAnsi="宋体" w:eastAsia="宋体" w:cs="宋体"/>
          <w:color w:val="auto"/>
          <w:sz w:val="28"/>
          <w:szCs w:val="28"/>
          <w:highlight w:val="none"/>
        </w:rPr>
      </w:pPr>
    </w:p>
    <w:p w14:paraId="78FB83EF">
      <w:pPr>
        <w:pStyle w:val="21"/>
        <w:rPr>
          <w:rFonts w:hint="eastAsia" w:ascii="宋体" w:hAnsi="宋体" w:eastAsia="宋体" w:cs="宋体"/>
          <w:color w:val="auto"/>
          <w:sz w:val="28"/>
          <w:szCs w:val="28"/>
          <w:highlight w:val="none"/>
        </w:rPr>
      </w:pPr>
    </w:p>
    <w:p w14:paraId="7773E590">
      <w:pPr>
        <w:pageBreakBefore w:val="0"/>
        <w:tabs>
          <w:tab w:val="left" w:pos="-1155"/>
          <w:tab w:val="left" w:pos="-1050"/>
        </w:tabs>
        <w:kinsoku/>
        <w:overflowPunct/>
        <w:topLinePunct w:val="0"/>
        <w:bidi w:val="0"/>
        <w:spacing w:line="360" w:lineRule="auto"/>
        <w:ind w:firstLine="1546" w:firstLineChars="500"/>
        <w:outlineLvl w:val="9"/>
        <w:rPr>
          <w:rFonts w:hint="eastAsia" w:ascii="宋体" w:hAnsi="宋体" w:cs="宋体" w:eastAsiaTheme="minorEastAsia"/>
          <w:b/>
          <w:color w:val="auto"/>
          <w:spacing w:val="-6"/>
          <w:sz w:val="32"/>
          <w:szCs w:val="32"/>
          <w:highlight w:val="none"/>
          <w:lang w:val="en-US" w:eastAsia="zh-CN"/>
        </w:rPr>
      </w:pPr>
      <w:r>
        <w:rPr>
          <w:rFonts w:hint="eastAsia" w:ascii="宋体" w:hAnsi="宋体" w:cs="宋体"/>
          <w:b/>
          <w:color w:val="auto"/>
          <w:spacing w:val="-6"/>
          <w:sz w:val="32"/>
          <w:szCs w:val="32"/>
          <w:highlight w:val="none"/>
        </w:rPr>
        <w:t>采购人：</w:t>
      </w:r>
      <w:r>
        <w:rPr>
          <w:rFonts w:hint="eastAsia" w:ascii="宋体" w:hAnsi="宋体" w:cs="宋体"/>
          <w:b/>
          <w:color w:val="auto"/>
          <w:spacing w:val="-6"/>
          <w:sz w:val="32"/>
          <w:szCs w:val="32"/>
          <w:highlight w:val="none"/>
          <w:lang w:val="en-US" w:eastAsia="zh-CN"/>
        </w:rPr>
        <w:t>三门峡市文博城事务中心</w:t>
      </w:r>
    </w:p>
    <w:p w14:paraId="7E15A369">
      <w:pPr>
        <w:pageBreakBefore w:val="0"/>
        <w:tabs>
          <w:tab w:val="left" w:pos="-1155"/>
          <w:tab w:val="left" w:pos="-1050"/>
        </w:tabs>
        <w:kinsoku/>
        <w:overflowPunct/>
        <w:topLinePunct w:val="0"/>
        <w:bidi w:val="0"/>
        <w:spacing w:line="360" w:lineRule="auto"/>
        <w:ind w:firstLine="1546" w:firstLineChars="500"/>
        <w:outlineLvl w:val="9"/>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采购代理机构：河南恒泽顺工程管理有限公司</w:t>
      </w:r>
    </w:p>
    <w:p w14:paraId="1D9FA440">
      <w:pPr>
        <w:pageBreakBefore w:val="0"/>
        <w:tabs>
          <w:tab w:val="left" w:pos="-1155"/>
          <w:tab w:val="left" w:pos="-1050"/>
        </w:tabs>
        <w:kinsoku/>
        <w:overflowPunct/>
        <w:topLinePunct w:val="0"/>
        <w:bidi w:val="0"/>
        <w:spacing w:line="360" w:lineRule="auto"/>
        <w:ind w:firstLine="1546" w:firstLineChars="500"/>
        <w:outlineLvl w:val="9"/>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日</w:t>
      </w:r>
      <w:r>
        <w:rPr>
          <w:rFonts w:hint="eastAsia" w:ascii="宋体" w:hAnsi="宋体" w:cs="宋体"/>
          <w:b/>
          <w:color w:val="auto"/>
          <w:spacing w:val="-6"/>
          <w:sz w:val="32"/>
          <w:szCs w:val="32"/>
          <w:highlight w:val="none"/>
          <w:lang w:val="en-US" w:eastAsia="zh-CN"/>
        </w:rPr>
        <w:t xml:space="preserve">  </w:t>
      </w:r>
      <w:r>
        <w:rPr>
          <w:rFonts w:hint="eastAsia" w:ascii="宋体" w:hAnsi="宋体" w:cs="宋体"/>
          <w:b/>
          <w:color w:val="auto"/>
          <w:spacing w:val="-6"/>
          <w:sz w:val="32"/>
          <w:szCs w:val="32"/>
          <w:highlight w:val="none"/>
        </w:rPr>
        <w:t>期</w:t>
      </w:r>
      <w:r>
        <w:rPr>
          <w:rFonts w:hint="eastAsia" w:ascii="宋体" w:hAnsi="宋体" w:cs="宋体"/>
          <w:b/>
          <w:color w:val="auto"/>
          <w:spacing w:val="-6"/>
          <w:sz w:val="32"/>
          <w:szCs w:val="32"/>
          <w:highlight w:val="none"/>
          <w:lang w:eastAsia="zh-CN"/>
        </w:rPr>
        <w:t>：</w:t>
      </w:r>
      <w:r>
        <w:rPr>
          <w:rFonts w:hint="eastAsia" w:ascii="宋体" w:hAnsi="宋体" w:cs="宋体"/>
          <w:b/>
          <w:color w:val="auto"/>
          <w:spacing w:val="-6"/>
          <w:sz w:val="32"/>
          <w:szCs w:val="32"/>
          <w:highlight w:val="none"/>
          <w:lang w:val="en-US" w:eastAsia="zh-CN"/>
        </w:rPr>
        <w:t>二零二五</w:t>
      </w:r>
      <w:r>
        <w:rPr>
          <w:rFonts w:hint="eastAsia" w:ascii="宋体" w:hAnsi="宋体" w:cs="宋体"/>
          <w:b/>
          <w:color w:val="auto"/>
          <w:spacing w:val="-6"/>
          <w:sz w:val="32"/>
          <w:szCs w:val="32"/>
          <w:highlight w:val="none"/>
        </w:rPr>
        <w:t>年</w:t>
      </w:r>
      <w:r>
        <w:rPr>
          <w:rFonts w:hint="eastAsia" w:ascii="宋体" w:hAnsi="宋体" w:cs="宋体"/>
          <w:b/>
          <w:color w:val="auto"/>
          <w:spacing w:val="-6"/>
          <w:sz w:val="32"/>
          <w:szCs w:val="32"/>
          <w:highlight w:val="none"/>
          <w:lang w:val="en-US" w:eastAsia="zh-CN"/>
        </w:rPr>
        <w:t>九</w:t>
      </w:r>
      <w:r>
        <w:rPr>
          <w:rFonts w:hint="eastAsia" w:ascii="宋体" w:hAnsi="宋体" w:cs="宋体"/>
          <w:b/>
          <w:color w:val="auto"/>
          <w:spacing w:val="-6"/>
          <w:sz w:val="32"/>
          <w:szCs w:val="32"/>
          <w:highlight w:val="none"/>
        </w:rPr>
        <w:t>月</w:t>
      </w:r>
    </w:p>
    <w:p w14:paraId="00BA1369">
      <w:pPr>
        <w:pageBreakBefore w:val="0"/>
        <w:shd w:val="solid" w:color="FFFFFF" w:fill="auto"/>
        <w:kinsoku/>
        <w:overflowPunct/>
        <w:topLinePunct w:val="0"/>
        <w:autoSpaceDN w:val="0"/>
        <w:bidi w:val="0"/>
        <w:spacing w:line="360" w:lineRule="auto"/>
        <w:jc w:val="both"/>
        <w:outlineLvl w:val="9"/>
        <w:rPr>
          <w:rFonts w:ascii="宋体" w:hAnsi="宋体" w:cs="宋体"/>
          <w:b/>
          <w:color w:val="auto"/>
          <w:sz w:val="32"/>
          <w:szCs w:val="32"/>
          <w:highlight w:val="none"/>
        </w:rPr>
        <w:sectPr>
          <w:footerReference r:id="rId3" w:type="default"/>
          <w:pgSz w:w="11907" w:h="16840"/>
          <w:pgMar w:top="1587" w:right="1531" w:bottom="1587" w:left="1531" w:header="851" w:footer="992" w:gutter="0"/>
          <w:pgNumType w:start="1"/>
          <w:cols w:space="720" w:num="1"/>
          <w:docGrid w:linePitch="312" w:charSpace="0"/>
        </w:sectPr>
      </w:pPr>
    </w:p>
    <w:sdt>
      <w:sdtPr>
        <w:rPr>
          <w:rFonts w:ascii="宋体" w:hAnsi="宋体" w:eastAsia="宋体" w:cstheme="minorBidi"/>
          <w:kern w:val="2"/>
          <w:sz w:val="28"/>
          <w:szCs w:val="32"/>
          <w:highlight w:val="none"/>
          <w:lang w:val="en-US" w:eastAsia="zh-CN" w:bidi="ar-SA"/>
        </w:rPr>
        <w:id w:val="147477482"/>
        <w15:color w:val="DBDBDB"/>
        <w:docPartObj>
          <w:docPartGallery w:val="Table of Contents"/>
          <w:docPartUnique/>
        </w:docPartObj>
      </w:sdtPr>
      <w:sdtEndPr>
        <w:rPr>
          <w:rFonts w:hint="eastAsia" w:ascii="宋体" w:hAnsi="宋体" w:eastAsia="宋体" w:cs="宋体"/>
          <w:color w:val="auto"/>
          <w:kern w:val="2"/>
          <w:sz w:val="21"/>
          <w:szCs w:val="28"/>
          <w:highlight w:val="none"/>
          <w:lang w:val="en-US" w:eastAsia="zh-CN" w:bidi="ar-SA"/>
        </w:rPr>
      </w:sdtEndPr>
      <w:sdtContent>
        <w:p w14:paraId="67FFD898">
          <w:pPr>
            <w:spacing w:before="0" w:beforeLines="0" w:after="0" w:afterLines="0" w:line="240" w:lineRule="auto"/>
            <w:ind w:left="0" w:leftChars="0" w:right="0" w:rightChars="0" w:firstLine="0" w:firstLineChars="0"/>
            <w:jc w:val="center"/>
            <w:rPr>
              <w:sz w:val="28"/>
              <w:szCs w:val="32"/>
              <w:highlight w:val="none"/>
            </w:rPr>
          </w:pPr>
          <w:r>
            <w:rPr>
              <w:rFonts w:ascii="宋体" w:hAnsi="宋体" w:eastAsia="宋体"/>
              <w:sz w:val="28"/>
              <w:szCs w:val="32"/>
              <w:highlight w:val="none"/>
            </w:rPr>
            <w:t>目</w:t>
          </w:r>
          <w:r>
            <w:rPr>
              <w:rFonts w:hint="eastAsia" w:ascii="宋体" w:hAnsi="宋体" w:eastAsia="宋体"/>
              <w:sz w:val="28"/>
              <w:szCs w:val="32"/>
              <w:highlight w:val="none"/>
              <w:lang w:val="en-US" w:eastAsia="zh-CN"/>
            </w:rPr>
            <w:t xml:space="preserve">  </w:t>
          </w:r>
          <w:r>
            <w:rPr>
              <w:rFonts w:ascii="宋体" w:hAnsi="宋体" w:eastAsia="宋体"/>
              <w:sz w:val="28"/>
              <w:szCs w:val="32"/>
              <w:highlight w:val="none"/>
            </w:rPr>
            <w:t>录</w:t>
          </w:r>
        </w:p>
        <w:p w14:paraId="4EBC850D">
          <w:pPr>
            <w:pStyle w:val="17"/>
            <w:tabs>
              <w:tab w:val="right" w:leader="dot" w:pos="9072"/>
            </w:tabs>
            <w:rPr>
              <w:sz w:val="28"/>
              <w:szCs w:val="32"/>
              <w:highlight w:val="none"/>
            </w:rPr>
          </w:pPr>
          <w:r>
            <w:rPr>
              <w:rFonts w:hint="eastAsia" w:ascii="宋体" w:hAnsi="宋体" w:eastAsia="宋体" w:cs="宋体"/>
              <w:b/>
              <w:color w:val="auto"/>
              <w:sz w:val="28"/>
              <w:szCs w:val="28"/>
              <w:highlight w:val="none"/>
            </w:rPr>
            <w:fldChar w:fldCharType="begin"/>
          </w:r>
          <w:r>
            <w:rPr>
              <w:rFonts w:hint="eastAsia" w:ascii="宋体" w:hAnsi="宋体" w:eastAsia="宋体" w:cs="宋体"/>
              <w:b/>
              <w:color w:val="auto"/>
              <w:sz w:val="28"/>
              <w:szCs w:val="28"/>
              <w:highlight w:val="none"/>
            </w:rPr>
            <w:instrText xml:space="preserve">TOC \o "1-3" \h \u </w:instrText>
          </w:r>
          <w:r>
            <w:rPr>
              <w:rFonts w:hint="eastAsia" w:ascii="宋体" w:hAnsi="宋体" w:eastAsia="宋体" w:cs="宋体"/>
              <w:b/>
              <w:color w:val="auto"/>
              <w:sz w:val="28"/>
              <w:szCs w:val="28"/>
              <w:highlight w:val="none"/>
            </w:rPr>
            <w:fldChar w:fldCharType="separate"/>
          </w: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_Toc23646 </w:instrText>
          </w:r>
          <w:r>
            <w:rPr>
              <w:rFonts w:hint="eastAsia" w:ascii="宋体" w:hAnsi="宋体" w:eastAsia="宋体" w:cs="宋体"/>
              <w:sz w:val="28"/>
              <w:szCs w:val="40"/>
              <w:highlight w:val="none"/>
            </w:rPr>
            <w:fldChar w:fldCharType="separate"/>
          </w:r>
          <w:r>
            <w:rPr>
              <w:rFonts w:hint="eastAsia"/>
              <w:bCs/>
              <w:sz w:val="28"/>
              <w:szCs w:val="52"/>
              <w:highlight w:val="none"/>
            </w:rPr>
            <w:t>第一章</w:t>
          </w:r>
          <w:r>
            <w:rPr>
              <w:rFonts w:hint="eastAsia"/>
              <w:bCs/>
              <w:sz w:val="28"/>
              <w:szCs w:val="52"/>
              <w:highlight w:val="none"/>
              <w:lang w:val="en-US" w:eastAsia="zh-CN"/>
            </w:rPr>
            <w:t xml:space="preserve">  </w:t>
          </w:r>
          <w:r>
            <w:rPr>
              <w:rFonts w:hint="eastAsia"/>
              <w:bCs/>
              <w:sz w:val="28"/>
              <w:szCs w:val="52"/>
              <w:highlight w:val="none"/>
            </w:rPr>
            <w:t>竞争性磋商公告</w:t>
          </w:r>
          <w:r>
            <w:rPr>
              <w:sz w:val="28"/>
              <w:szCs w:val="32"/>
              <w:highlight w:val="none"/>
            </w:rPr>
            <w:tab/>
          </w:r>
          <w:r>
            <w:rPr>
              <w:sz w:val="28"/>
              <w:szCs w:val="32"/>
              <w:highlight w:val="none"/>
            </w:rPr>
            <w:fldChar w:fldCharType="begin"/>
          </w:r>
          <w:r>
            <w:rPr>
              <w:sz w:val="28"/>
              <w:szCs w:val="32"/>
              <w:highlight w:val="none"/>
            </w:rPr>
            <w:instrText xml:space="preserve"> PAGEREF _Toc23646 \h </w:instrText>
          </w:r>
          <w:r>
            <w:rPr>
              <w:sz w:val="28"/>
              <w:szCs w:val="32"/>
              <w:highlight w:val="none"/>
            </w:rPr>
            <w:fldChar w:fldCharType="separate"/>
          </w:r>
          <w:r>
            <w:rPr>
              <w:sz w:val="28"/>
              <w:szCs w:val="32"/>
              <w:highlight w:val="none"/>
            </w:rPr>
            <w:t>1</w:t>
          </w:r>
          <w:r>
            <w:rPr>
              <w:sz w:val="28"/>
              <w:szCs w:val="32"/>
              <w:highlight w:val="none"/>
            </w:rPr>
            <w:fldChar w:fldCharType="end"/>
          </w:r>
          <w:r>
            <w:rPr>
              <w:rFonts w:hint="eastAsia" w:ascii="宋体" w:hAnsi="宋体" w:eastAsia="宋体" w:cs="宋体"/>
              <w:color w:val="auto"/>
              <w:sz w:val="28"/>
              <w:szCs w:val="40"/>
              <w:highlight w:val="none"/>
            </w:rPr>
            <w:fldChar w:fldCharType="end"/>
          </w:r>
        </w:p>
        <w:p w14:paraId="017D51F6">
          <w:pPr>
            <w:pStyle w:val="17"/>
            <w:tabs>
              <w:tab w:val="right" w:leader="dot" w:pos="9072"/>
            </w:tabs>
            <w:rPr>
              <w:sz w:val="28"/>
              <w:szCs w:val="32"/>
              <w:highlight w:val="none"/>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_Toc81 </w:instrText>
          </w:r>
          <w:r>
            <w:rPr>
              <w:rFonts w:hint="eastAsia" w:ascii="宋体" w:hAnsi="宋体" w:eastAsia="宋体" w:cs="宋体"/>
              <w:sz w:val="28"/>
              <w:szCs w:val="40"/>
              <w:highlight w:val="none"/>
            </w:rPr>
            <w:fldChar w:fldCharType="separate"/>
          </w:r>
          <w:r>
            <w:rPr>
              <w:rFonts w:hint="eastAsia"/>
              <w:bCs/>
              <w:sz w:val="28"/>
              <w:szCs w:val="52"/>
              <w:highlight w:val="none"/>
            </w:rPr>
            <w:t>第二章</w:t>
          </w:r>
          <w:r>
            <w:rPr>
              <w:rFonts w:hint="eastAsia"/>
              <w:bCs/>
              <w:sz w:val="28"/>
              <w:szCs w:val="52"/>
              <w:highlight w:val="none"/>
              <w:lang w:val="en-US" w:eastAsia="zh-CN"/>
            </w:rPr>
            <w:t xml:space="preserve">  </w:t>
          </w:r>
          <w:r>
            <w:rPr>
              <w:rFonts w:hint="eastAsia"/>
              <w:bCs/>
              <w:sz w:val="28"/>
              <w:szCs w:val="52"/>
              <w:highlight w:val="none"/>
              <w:lang w:eastAsia="zh-CN"/>
            </w:rPr>
            <w:t>供应商</w:t>
          </w:r>
          <w:r>
            <w:rPr>
              <w:rFonts w:hint="eastAsia"/>
              <w:bCs/>
              <w:sz w:val="28"/>
              <w:szCs w:val="52"/>
              <w:highlight w:val="none"/>
            </w:rPr>
            <w:t>须知</w:t>
          </w:r>
          <w:r>
            <w:rPr>
              <w:sz w:val="28"/>
              <w:szCs w:val="32"/>
              <w:highlight w:val="none"/>
            </w:rPr>
            <w:tab/>
          </w:r>
          <w:r>
            <w:rPr>
              <w:sz w:val="28"/>
              <w:szCs w:val="32"/>
              <w:highlight w:val="none"/>
            </w:rPr>
            <w:fldChar w:fldCharType="begin"/>
          </w:r>
          <w:r>
            <w:rPr>
              <w:sz w:val="28"/>
              <w:szCs w:val="32"/>
              <w:highlight w:val="none"/>
            </w:rPr>
            <w:instrText xml:space="preserve"> PAGEREF _Toc81 \h </w:instrText>
          </w:r>
          <w:r>
            <w:rPr>
              <w:sz w:val="28"/>
              <w:szCs w:val="32"/>
              <w:highlight w:val="none"/>
            </w:rPr>
            <w:fldChar w:fldCharType="separate"/>
          </w:r>
          <w:r>
            <w:rPr>
              <w:sz w:val="28"/>
              <w:szCs w:val="32"/>
              <w:highlight w:val="none"/>
            </w:rPr>
            <w:t>6</w:t>
          </w:r>
          <w:r>
            <w:rPr>
              <w:sz w:val="28"/>
              <w:szCs w:val="32"/>
              <w:highlight w:val="none"/>
            </w:rPr>
            <w:fldChar w:fldCharType="end"/>
          </w:r>
          <w:r>
            <w:rPr>
              <w:rFonts w:hint="eastAsia" w:ascii="宋体" w:hAnsi="宋体" w:eastAsia="宋体" w:cs="宋体"/>
              <w:color w:val="auto"/>
              <w:sz w:val="28"/>
              <w:szCs w:val="40"/>
              <w:highlight w:val="none"/>
            </w:rPr>
            <w:fldChar w:fldCharType="end"/>
          </w:r>
        </w:p>
        <w:p w14:paraId="30890936">
          <w:pPr>
            <w:pStyle w:val="17"/>
            <w:tabs>
              <w:tab w:val="right" w:leader="dot" w:pos="9072"/>
            </w:tabs>
            <w:rPr>
              <w:sz w:val="28"/>
              <w:szCs w:val="32"/>
              <w:highlight w:val="none"/>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_Toc29270 </w:instrText>
          </w:r>
          <w:r>
            <w:rPr>
              <w:rFonts w:hint="eastAsia" w:ascii="宋体" w:hAnsi="宋体" w:eastAsia="宋体" w:cs="宋体"/>
              <w:sz w:val="28"/>
              <w:szCs w:val="40"/>
              <w:highlight w:val="none"/>
            </w:rPr>
            <w:fldChar w:fldCharType="separate"/>
          </w:r>
          <w:r>
            <w:rPr>
              <w:rFonts w:hint="eastAsia" w:asciiTheme="minorHAnsi" w:hAnsiTheme="minorHAnsi" w:eastAsiaTheme="minorEastAsia" w:cstheme="minorBidi"/>
              <w:bCs/>
              <w:kern w:val="2"/>
              <w:sz w:val="28"/>
              <w:szCs w:val="52"/>
              <w:highlight w:val="none"/>
              <w:lang w:val="en-US" w:eastAsia="zh-CN" w:bidi="ar-SA"/>
            </w:rPr>
            <w:t>第三章</w:t>
          </w:r>
          <w:r>
            <w:rPr>
              <w:rFonts w:hint="eastAsia" w:cstheme="minorBidi"/>
              <w:bCs/>
              <w:kern w:val="2"/>
              <w:sz w:val="28"/>
              <w:szCs w:val="52"/>
              <w:highlight w:val="none"/>
              <w:lang w:val="en-US" w:eastAsia="zh-CN" w:bidi="ar-SA"/>
            </w:rPr>
            <w:t xml:space="preserve">  </w:t>
          </w:r>
          <w:r>
            <w:rPr>
              <w:rFonts w:hint="eastAsia"/>
              <w:bCs/>
              <w:sz w:val="28"/>
              <w:szCs w:val="52"/>
              <w:highlight w:val="none"/>
              <w:lang w:val="en-US" w:eastAsia="zh-CN"/>
            </w:rPr>
            <w:t>招标控制价编制说明</w:t>
          </w:r>
          <w:r>
            <w:rPr>
              <w:sz w:val="28"/>
              <w:szCs w:val="32"/>
              <w:highlight w:val="none"/>
            </w:rPr>
            <w:tab/>
          </w:r>
          <w:r>
            <w:rPr>
              <w:sz w:val="28"/>
              <w:szCs w:val="32"/>
              <w:highlight w:val="none"/>
            </w:rPr>
            <w:fldChar w:fldCharType="begin"/>
          </w:r>
          <w:r>
            <w:rPr>
              <w:sz w:val="28"/>
              <w:szCs w:val="32"/>
              <w:highlight w:val="none"/>
            </w:rPr>
            <w:instrText xml:space="preserve"> PAGEREF _Toc29270 \h </w:instrText>
          </w:r>
          <w:r>
            <w:rPr>
              <w:sz w:val="28"/>
              <w:szCs w:val="32"/>
              <w:highlight w:val="none"/>
            </w:rPr>
            <w:fldChar w:fldCharType="separate"/>
          </w:r>
          <w:r>
            <w:rPr>
              <w:sz w:val="28"/>
              <w:szCs w:val="32"/>
              <w:highlight w:val="none"/>
            </w:rPr>
            <w:t>23</w:t>
          </w:r>
          <w:r>
            <w:rPr>
              <w:sz w:val="28"/>
              <w:szCs w:val="32"/>
              <w:highlight w:val="none"/>
            </w:rPr>
            <w:fldChar w:fldCharType="end"/>
          </w:r>
          <w:r>
            <w:rPr>
              <w:rFonts w:hint="eastAsia" w:ascii="宋体" w:hAnsi="宋体" w:eastAsia="宋体" w:cs="宋体"/>
              <w:color w:val="auto"/>
              <w:sz w:val="28"/>
              <w:szCs w:val="40"/>
              <w:highlight w:val="none"/>
            </w:rPr>
            <w:fldChar w:fldCharType="end"/>
          </w:r>
        </w:p>
        <w:p w14:paraId="6205ABC9">
          <w:pPr>
            <w:pStyle w:val="17"/>
            <w:tabs>
              <w:tab w:val="right" w:leader="dot" w:pos="9072"/>
            </w:tabs>
            <w:rPr>
              <w:sz w:val="28"/>
              <w:szCs w:val="32"/>
              <w:highlight w:val="none"/>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_Toc4150 </w:instrText>
          </w:r>
          <w:r>
            <w:rPr>
              <w:rFonts w:hint="eastAsia" w:ascii="宋体" w:hAnsi="宋体" w:eastAsia="宋体" w:cs="宋体"/>
              <w:sz w:val="28"/>
              <w:szCs w:val="40"/>
              <w:highlight w:val="none"/>
            </w:rPr>
            <w:fldChar w:fldCharType="separate"/>
          </w:r>
          <w:r>
            <w:rPr>
              <w:rFonts w:hint="eastAsia"/>
              <w:bCs/>
              <w:sz w:val="28"/>
              <w:szCs w:val="52"/>
              <w:highlight w:val="none"/>
              <w:lang w:val="en-US" w:eastAsia="zh-CN"/>
            </w:rPr>
            <w:t>第四章  合同条款</w:t>
          </w:r>
          <w:r>
            <w:rPr>
              <w:sz w:val="28"/>
              <w:szCs w:val="32"/>
              <w:highlight w:val="none"/>
            </w:rPr>
            <w:tab/>
          </w:r>
          <w:r>
            <w:rPr>
              <w:sz w:val="28"/>
              <w:szCs w:val="32"/>
              <w:highlight w:val="none"/>
            </w:rPr>
            <w:fldChar w:fldCharType="begin"/>
          </w:r>
          <w:r>
            <w:rPr>
              <w:sz w:val="28"/>
              <w:szCs w:val="32"/>
              <w:highlight w:val="none"/>
            </w:rPr>
            <w:instrText xml:space="preserve"> PAGEREF _Toc4150 \h </w:instrText>
          </w:r>
          <w:r>
            <w:rPr>
              <w:sz w:val="28"/>
              <w:szCs w:val="32"/>
              <w:highlight w:val="none"/>
            </w:rPr>
            <w:fldChar w:fldCharType="separate"/>
          </w:r>
          <w:r>
            <w:rPr>
              <w:sz w:val="28"/>
              <w:szCs w:val="32"/>
              <w:highlight w:val="none"/>
            </w:rPr>
            <w:t>24</w:t>
          </w:r>
          <w:r>
            <w:rPr>
              <w:sz w:val="28"/>
              <w:szCs w:val="32"/>
              <w:highlight w:val="none"/>
            </w:rPr>
            <w:fldChar w:fldCharType="end"/>
          </w:r>
          <w:r>
            <w:rPr>
              <w:rFonts w:hint="eastAsia" w:ascii="宋体" w:hAnsi="宋体" w:eastAsia="宋体" w:cs="宋体"/>
              <w:color w:val="auto"/>
              <w:sz w:val="28"/>
              <w:szCs w:val="40"/>
              <w:highlight w:val="none"/>
            </w:rPr>
            <w:fldChar w:fldCharType="end"/>
          </w:r>
        </w:p>
        <w:p w14:paraId="596CA785">
          <w:pPr>
            <w:pStyle w:val="17"/>
            <w:tabs>
              <w:tab w:val="right" w:leader="dot" w:pos="9072"/>
            </w:tabs>
            <w:rPr>
              <w:sz w:val="28"/>
              <w:szCs w:val="32"/>
              <w:highlight w:val="none"/>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_Toc21354 </w:instrText>
          </w:r>
          <w:r>
            <w:rPr>
              <w:rFonts w:hint="eastAsia" w:ascii="宋体" w:hAnsi="宋体" w:eastAsia="宋体" w:cs="宋体"/>
              <w:sz w:val="28"/>
              <w:szCs w:val="40"/>
              <w:highlight w:val="none"/>
            </w:rPr>
            <w:fldChar w:fldCharType="separate"/>
          </w:r>
          <w:r>
            <w:rPr>
              <w:rFonts w:hint="eastAsia"/>
              <w:bCs/>
              <w:sz w:val="28"/>
              <w:szCs w:val="52"/>
              <w:highlight w:val="none"/>
            </w:rPr>
            <w:t>第五章  评标办法（综合评</w:t>
          </w:r>
          <w:r>
            <w:rPr>
              <w:rFonts w:hint="eastAsia"/>
              <w:bCs/>
              <w:sz w:val="28"/>
              <w:szCs w:val="52"/>
              <w:highlight w:val="none"/>
              <w:lang w:val="en-US" w:eastAsia="zh-CN"/>
            </w:rPr>
            <w:t>分</w:t>
          </w:r>
          <w:r>
            <w:rPr>
              <w:rFonts w:hint="eastAsia"/>
              <w:bCs/>
              <w:sz w:val="28"/>
              <w:szCs w:val="52"/>
              <w:highlight w:val="none"/>
            </w:rPr>
            <w:t>法）</w:t>
          </w:r>
          <w:r>
            <w:rPr>
              <w:sz w:val="28"/>
              <w:szCs w:val="32"/>
              <w:highlight w:val="none"/>
            </w:rPr>
            <w:tab/>
          </w:r>
          <w:r>
            <w:rPr>
              <w:sz w:val="28"/>
              <w:szCs w:val="32"/>
              <w:highlight w:val="none"/>
            </w:rPr>
            <w:fldChar w:fldCharType="begin"/>
          </w:r>
          <w:r>
            <w:rPr>
              <w:sz w:val="28"/>
              <w:szCs w:val="32"/>
              <w:highlight w:val="none"/>
            </w:rPr>
            <w:instrText xml:space="preserve"> PAGEREF _Toc21354 \h </w:instrText>
          </w:r>
          <w:r>
            <w:rPr>
              <w:sz w:val="28"/>
              <w:szCs w:val="32"/>
              <w:highlight w:val="none"/>
            </w:rPr>
            <w:fldChar w:fldCharType="separate"/>
          </w:r>
          <w:r>
            <w:rPr>
              <w:sz w:val="28"/>
              <w:szCs w:val="32"/>
              <w:highlight w:val="none"/>
            </w:rPr>
            <w:t>48</w:t>
          </w:r>
          <w:r>
            <w:rPr>
              <w:sz w:val="28"/>
              <w:szCs w:val="32"/>
              <w:highlight w:val="none"/>
            </w:rPr>
            <w:fldChar w:fldCharType="end"/>
          </w:r>
          <w:r>
            <w:rPr>
              <w:rFonts w:hint="eastAsia" w:ascii="宋体" w:hAnsi="宋体" w:eastAsia="宋体" w:cs="宋体"/>
              <w:color w:val="auto"/>
              <w:sz w:val="28"/>
              <w:szCs w:val="40"/>
              <w:highlight w:val="none"/>
            </w:rPr>
            <w:fldChar w:fldCharType="end"/>
          </w:r>
        </w:p>
        <w:p w14:paraId="0C5A117D">
          <w:pPr>
            <w:pStyle w:val="17"/>
            <w:tabs>
              <w:tab w:val="right" w:leader="dot" w:pos="9072"/>
            </w:tabs>
            <w:rPr>
              <w:sz w:val="28"/>
              <w:szCs w:val="32"/>
              <w:highlight w:val="none"/>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_Toc2107 </w:instrText>
          </w:r>
          <w:r>
            <w:rPr>
              <w:rFonts w:hint="eastAsia" w:ascii="宋体" w:hAnsi="宋体" w:eastAsia="宋体" w:cs="宋体"/>
              <w:sz w:val="28"/>
              <w:szCs w:val="40"/>
              <w:highlight w:val="none"/>
            </w:rPr>
            <w:fldChar w:fldCharType="separate"/>
          </w:r>
          <w:r>
            <w:rPr>
              <w:rFonts w:hint="eastAsia"/>
              <w:bCs/>
              <w:sz w:val="28"/>
              <w:szCs w:val="52"/>
              <w:highlight w:val="none"/>
            </w:rPr>
            <w:t>第六章  工程量清单（另附）</w:t>
          </w:r>
          <w:r>
            <w:rPr>
              <w:sz w:val="28"/>
              <w:szCs w:val="32"/>
              <w:highlight w:val="none"/>
            </w:rPr>
            <w:tab/>
          </w:r>
          <w:r>
            <w:rPr>
              <w:sz w:val="28"/>
              <w:szCs w:val="32"/>
              <w:highlight w:val="none"/>
            </w:rPr>
            <w:fldChar w:fldCharType="begin"/>
          </w:r>
          <w:r>
            <w:rPr>
              <w:sz w:val="28"/>
              <w:szCs w:val="32"/>
              <w:highlight w:val="none"/>
            </w:rPr>
            <w:instrText xml:space="preserve"> PAGEREF _Toc2107 \h </w:instrText>
          </w:r>
          <w:r>
            <w:rPr>
              <w:sz w:val="28"/>
              <w:szCs w:val="32"/>
              <w:highlight w:val="none"/>
            </w:rPr>
            <w:fldChar w:fldCharType="separate"/>
          </w:r>
          <w:r>
            <w:rPr>
              <w:sz w:val="28"/>
              <w:szCs w:val="32"/>
              <w:highlight w:val="none"/>
            </w:rPr>
            <w:t>60</w:t>
          </w:r>
          <w:r>
            <w:rPr>
              <w:sz w:val="28"/>
              <w:szCs w:val="32"/>
              <w:highlight w:val="none"/>
            </w:rPr>
            <w:fldChar w:fldCharType="end"/>
          </w:r>
          <w:r>
            <w:rPr>
              <w:rFonts w:hint="eastAsia" w:ascii="宋体" w:hAnsi="宋体" w:eastAsia="宋体" w:cs="宋体"/>
              <w:color w:val="auto"/>
              <w:sz w:val="28"/>
              <w:szCs w:val="40"/>
              <w:highlight w:val="none"/>
            </w:rPr>
            <w:fldChar w:fldCharType="end"/>
          </w:r>
        </w:p>
        <w:p w14:paraId="21814CA4">
          <w:pPr>
            <w:pStyle w:val="17"/>
            <w:tabs>
              <w:tab w:val="right" w:leader="dot" w:pos="9072"/>
            </w:tabs>
            <w:rPr>
              <w:sz w:val="28"/>
              <w:szCs w:val="32"/>
              <w:highlight w:val="none"/>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_Toc6816 </w:instrText>
          </w:r>
          <w:r>
            <w:rPr>
              <w:rFonts w:hint="eastAsia" w:ascii="宋体" w:hAnsi="宋体" w:eastAsia="宋体" w:cs="宋体"/>
              <w:sz w:val="28"/>
              <w:szCs w:val="40"/>
              <w:highlight w:val="none"/>
            </w:rPr>
            <w:fldChar w:fldCharType="separate"/>
          </w:r>
          <w:r>
            <w:rPr>
              <w:rFonts w:hint="eastAsia"/>
              <w:bCs/>
              <w:sz w:val="28"/>
              <w:szCs w:val="52"/>
              <w:highlight w:val="none"/>
            </w:rPr>
            <w:t>第七章  图纸（另附）</w:t>
          </w:r>
          <w:r>
            <w:rPr>
              <w:sz w:val="28"/>
              <w:szCs w:val="32"/>
              <w:highlight w:val="none"/>
            </w:rPr>
            <w:tab/>
          </w:r>
          <w:r>
            <w:rPr>
              <w:sz w:val="28"/>
              <w:szCs w:val="32"/>
              <w:highlight w:val="none"/>
            </w:rPr>
            <w:fldChar w:fldCharType="begin"/>
          </w:r>
          <w:r>
            <w:rPr>
              <w:sz w:val="28"/>
              <w:szCs w:val="32"/>
              <w:highlight w:val="none"/>
            </w:rPr>
            <w:instrText xml:space="preserve"> PAGEREF _Toc6816 \h </w:instrText>
          </w:r>
          <w:r>
            <w:rPr>
              <w:sz w:val="28"/>
              <w:szCs w:val="32"/>
              <w:highlight w:val="none"/>
            </w:rPr>
            <w:fldChar w:fldCharType="separate"/>
          </w:r>
          <w:r>
            <w:rPr>
              <w:sz w:val="28"/>
              <w:szCs w:val="32"/>
              <w:highlight w:val="none"/>
            </w:rPr>
            <w:t>61</w:t>
          </w:r>
          <w:r>
            <w:rPr>
              <w:sz w:val="28"/>
              <w:szCs w:val="32"/>
              <w:highlight w:val="none"/>
            </w:rPr>
            <w:fldChar w:fldCharType="end"/>
          </w:r>
          <w:r>
            <w:rPr>
              <w:rFonts w:hint="eastAsia" w:ascii="宋体" w:hAnsi="宋体" w:eastAsia="宋体" w:cs="宋体"/>
              <w:color w:val="auto"/>
              <w:sz w:val="28"/>
              <w:szCs w:val="40"/>
              <w:highlight w:val="none"/>
            </w:rPr>
            <w:fldChar w:fldCharType="end"/>
          </w:r>
        </w:p>
        <w:p w14:paraId="2817B288">
          <w:pPr>
            <w:pStyle w:val="17"/>
            <w:tabs>
              <w:tab w:val="right" w:leader="dot" w:pos="9072"/>
            </w:tabs>
            <w:rPr>
              <w:sz w:val="28"/>
              <w:szCs w:val="32"/>
              <w:highlight w:val="none"/>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_Toc3158 </w:instrText>
          </w:r>
          <w:r>
            <w:rPr>
              <w:rFonts w:hint="eastAsia" w:ascii="宋体" w:hAnsi="宋体" w:eastAsia="宋体" w:cs="宋体"/>
              <w:sz w:val="28"/>
              <w:szCs w:val="40"/>
              <w:highlight w:val="none"/>
            </w:rPr>
            <w:fldChar w:fldCharType="separate"/>
          </w:r>
          <w:r>
            <w:rPr>
              <w:rFonts w:hint="eastAsia"/>
              <w:bCs/>
              <w:sz w:val="28"/>
              <w:szCs w:val="52"/>
              <w:highlight w:val="none"/>
              <w:lang w:val="en-US" w:eastAsia="zh-CN"/>
            </w:rPr>
            <w:t>第八章  采购内容及要求</w:t>
          </w:r>
          <w:r>
            <w:rPr>
              <w:sz w:val="28"/>
              <w:szCs w:val="32"/>
              <w:highlight w:val="none"/>
            </w:rPr>
            <w:tab/>
          </w:r>
          <w:r>
            <w:rPr>
              <w:sz w:val="28"/>
              <w:szCs w:val="32"/>
              <w:highlight w:val="none"/>
            </w:rPr>
            <w:fldChar w:fldCharType="begin"/>
          </w:r>
          <w:r>
            <w:rPr>
              <w:sz w:val="28"/>
              <w:szCs w:val="32"/>
              <w:highlight w:val="none"/>
            </w:rPr>
            <w:instrText xml:space="preserve"> PAGEREF _Toc3158 \h </w:instrText>
          </w:r>
          <w:r>
            <w:rPr>
              <w:sz w:val="28"/>
              <w:szCs w:val="32"/>
              <w:highlight w:val="none"/>
            </w:rPr>
            <w:fldChar w:fldCharType="separate"/>
          </w:r>
          <w:r>
            <w:rPr>
              <w:sz w:val="28"/>
              <w:szCs w:val="32"/>
              <w:highlight w:val="none"/>
            </w:rPr>
            <w:t>62</w:t>
          </w:r>
          <w:r>
            <w:rPr>
              <w:sz w:val="28"/>
              <w:szCs w:val="32"/>
              <w:highlight w:val="none"/>
            </w:rPr>
            <w:fldChar w:fldCharType="end"/>
          </w:r>
          <w:r>
            <w:rPr>
              <w:rFonts w:hint="eastAsia" w:ascii="宋体" w:hAnsi="宋体" w:eastAsia="宋体" w:cs="宋体"/>
              <w:color w:val="auto"/>
              <w:sz w:val="28"/>
              <w:szCs w:val="40"/>
              <w:highlight w:val="none"/>
            </w:rPr>
            <w:fldChar w:fldCharType="end"/>
          </w:r>
        </w:p>
        <w:p w14:paraId="6428DBB6">
          <w:pPr>
            <w:pStyle w:val="17"/>
            <w:tabs>
              <w:tab w:val="right" w:leader="dot" w:pos="9072"/>
            </w:tabs>
            <w:rPr>
              <w:sz w:val="28"/>
              <w:szCs w:val="32"/>
              <w:highlight w:val="none"/>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_Toc12926 </w:instrText>
          </w:r>
          <w:r>
            <w:rPr>
              <w:rFonts w:hint="eastAsia" w:ascii="宋体" w:hAnsi="宋体" w:eastAsia="宋体" w:cs="宋体"/>
              <w:sz w:val="28"/>
              <w:szCs w:val="40"/>
              <w:highlight w:val="none"/>
            </w:rPr>
            <w:fldChar w:fldCharType="separate"/>
          </w:r>
          <w:r>
            <w:rPr>
              <w:rFonts w:hint="eastAsia"/>
              <w:bCs/>
              <w:sz w:val="28"/>
              <w:szCs w:val="52"/>
              <w:highlight w:val="none"/>
            </w:rPr>
            <w:t>第</w:t>
          </w:r>
          <w:r>
            <w:rPr>
              <w:rFonts w:hint="eastAsia"/>
              <w:bCs/>
              <w:sz w:val="28"/>
              <w:szCs w:val="52"/>
              <w:highlight w:val="none"/>
              <w:lang w:val="en-US" w:eastAsia="zh-CN"/>
            </w:rPr>
            <w:t>九</w:t>
          </w:r>
          <w:r>
            <w:rPr>
              <w:rFonts w:hint="eastAsia"/>
              <w:bCs/>
              <w:sz w:val="28"/>
              <w:szCs w:val="52"/>
              <w:highlight w:val="none"/>
            </w:rPr>
            <w:t>章  响应性文件格式</w:t>
          </w:r>
          <w:r>
            <w:rPr>
              <w:sz w:val="28"/>
              <w:szCs w:val="32"/>
              <w:highlight w:val="none"/>
            </w:rPr>
            <w:tab/>
          </w:r>
          <w:r>
            <w:rPr>
              <w:sz w:val="28"/>
              <w:szCs w:val="32"/>
              <w:highlight w:val="none"/>
            </w:rPr>
            <w:fldChar w:fldCharType="begin"/>
          </w:r>
          <w:r>
            <w:rPr>
              <w:sz w:val="28"/>
              <w:szCs w:val="32"/>
              <w:highlight w:val="none"/>
            </w:rPr>
            <w:instrText xml:space="preserve"> PAGEREF _Toc12926 \h </w:instrText>
          </w:r>
          <w:r>
            <w:rPr>
              <w:sz w:val="28"/>
              <w:szCs w:val="32"/>
              <w:highlight w:val="none"/>
            </w:rPr>
            <w:fldChar w:fldCharType="separate"/>
          </w:r>
          <w:r>
            <w:rPr>
              <w:sz w:val="28"/>
              <w:szCs w:val="32"/>
              <w:highlight w:val="none"/>
            </w:rPr>
            <w:t>79</w:t>
          </w:r>
          <w:r>
            <w:rPr>
              <w:sz w:val="28"/>
              <w:szCs w:val="32"/>
              <w:highlight w:val="none"/>
            </w:rPr>
            <w:fldChar w:fldCharType="end"/>
          </w:r>
          <w:r>
            <w:rPr>
              <w:rFonts w:hint="eastAsia" w:ascii="宋体" w:hAnsi="宋体" w:eastAsia="宋体" w:cs="宋体"/>
              <w:color w:val="auto"/>
              <w:sz w:val="28"/>
              <w:szCs w:val="40"/>
              <w:highlight w:val="none"/>
            </w:rPr>
            <w:fldChar w:fldCharType="end"/>
          </w:r>
        </w:p>
        <w:p w14:paraId="51F29630">
          <w:pPr>
            <w:pStyle w:val="17"/>
            <w:tabs>
              <w:tab w:val="right" w:leader="dot" w:pos="9072"/>
            </w:tabs>
            <w:rPr>
              <w:highlight w:val="none"/>
            </w:rPr>
          </w:pPr>
        </w:p>
        <w:p w14:paraId="50EBD6FA">
          <w:pPr>
            <w:pageBreakBefore w:val="0"/>
            <w:kinsoku/>
            <w:overflowPunct/>
            <w:topLinePunct w:val="0"/>
            <w:bidi w:val="0"/>
            <w:spacing w:line="360" w:lineRule="auto"/>
            <w:outlineLvl w:val="9"/>
            <w:rPr>
              <w:rFonts w:hint="eastAsia" w:ascii="宋体" w:hAnsi="宋体" w:eastAsia="宋体" w:cs="宋体"/>
              <w:color w:val="auto"/>
              <w:kern w:val="2"/>
              <w:sz w:val="21"/>
              <w:szCs w:val="28"/>
              <w:highlight w:val="none"/>
              <w:lang w:val="en-US" w:eastAsia="zh-CN" w:bidi="ar-SA"/>
            </w:rPr>
          </w:pPr>
          <w:r>
            <w:rPr>
              <w:rFonts w:hint="eastAsia" w:ascii="宋体" w:hAnsi="宋体" w:eastAsia="宋体" w:cs="宋体"/>
              <w:color w:val="auto"/>
              <w:szCs w:val="28"/>
              <w:highlight w:val="none"/>
            </w:rPr>
            <w:fldChar w:fldCharType="end"/>
          </w:r>
        </w:p>
      </w:sdtContent>
    </w:sdt>
    <w:p w14:paraId="021C445D">
      <w:pPr>
        <w:pStyle w:val="21"/>
        <w:rPr>
          <w:rFonts w:hint="eastAsia"/>
          <w:highlight w:val="none"/>
        </w:rPr>
      </w:pPr>
    </w:p>
    <w:p w14:paraId="707A4633">
      <w:pPr>
        <w:pageBreakBefore w:val="0"/>
        <w:kinsoku/>
        <w:overflowPunct/>
        <w:topLinePunct w:val="0"/>
        <w:bidi w:val="0"/>
        <w:outlineLvl w:val="9"/>
        <w:rPr>
          <w:rFonts w:hint="eastAsia"/>
          <w:color w:val="auto"/>
          <w:highlight w:val="none"/>
        </w:rPr>
        <w:sectPr>
          <w:footerReference r:id="rId4" w:type="default"/>
          <w:pgSz w:w="11906" w:h="16838"/>
          <w:pgMar w:top="1247" w:right="1417" w:bottom="1134" w:left="1417" w:header="851" w:footer="992" w:gutter="0"/>
          <w:cols w:space="720" w:num="1"/>
          <w:docGrid w:type="lines" w:linePitch="312" w:charSpace="0"/>
        </w:sectPr>
      </w:pPr>
      <w:bookmarkStart w:id="2" w:name="_Toc69718831"/>
      <w:bookmarkEnd w:id="2"/>
      <w:bookmarkStart w:id="3" w:name="_Toc28061"/>
    </w:p>
    <w:p w14:paraId="336F0FF4">
      <w:pPr>
        <w:keepNext/>
        <w:keepLines/>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b/>
          <w:bCs/>
          <w:color w:val="auto"/>
          <w:sz w:val="36"/>
          <w:szCs w:val="40"/>
          <w:highlight w:val="none"/>
        </w:rPr>
      </w:pPr>
      <w:bookmarkStart w:id="4" w:name="_Toc23646"/>
      <w:bookmarkStart w:id="5" w:name="_Toc3955"/>
      <w:bookmarkStart w:id="6" w:name="_Toc31987"/>
      <w:r>
        <w:rPr>
          <w:rFonts w:hint="eastAsia"/>
          <w:b/>
          <w:bCs/>
          <w:color w:val="auto"/>
          <w:sz w:val="36"/>
          <w:szCs w:val="40"/>
          <w:highlight w:val="none"/>
        </w:rPr>
        <w:t>第一章</w:t>
      </w:r>
      <w:r>
        <w:rPr>
          <w:rFonts w:hint="eastAsia"/>
          <w:b/>
          <w:bCs/>
          <w:color w:val="auto"/>
          <w:sz w:val="36"/>
          <w:szCs w:val="40"/>
          <w:highlight w:val="none"/>
          <w:lang w:val="en-US" w:eastAsia="zh-CN"/>
        </w:rPr>
        <w:t xml:space="preserve">  </w:t>
      </w:r>
      <w:r>
        <w:rPr>
          <w:rFonts w:hint="eastAsia"/>
          <w:b/>
          <w:bCs/>
          <w:color w:val="auto"/>
          <w:sz w:val="36"/>
          <w:szCs w:val="40"/>
          <w:highlight w:val="none"/>
        </w:rPr>
        <w:t>竞争性磋商公告</w:t>
      </w:r>
      <w:bookmarkEnd w:id="3"/>
      <w:bookmarkEnd w:id="4"/>
      <w:bookmarkEnd w:id="5"/>
      <w:bookmarkEnd w:id="6"/>
    </w:p>
    <w:p w14:paraId="19A3CA91">
      <w:pPr>
        <w:pageBreakBefore w:val="0"/>
        <w:kinsoku/>
        <w:overflowPunct/>
        <w:topLinePunct w:val="0"/>
        <w:bidi w:val="0"/>
        <w:spacing w:line="360" w:lineRule="auto"/>
        <w:ind w:firstLine="480" w:firstLineChars="200"/>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文博城大剧院老旧设施设备维修改造项目，</w:t>
      </w:r>
      <w:r>
        <w:rPr>
          <w:rFonts w:hint="eastAsia" w:ascii="宋体" w:hAnsi="宋体" w:eastAsia="宋体" w:cs="宋体"/>
          <w:color w:val="auto"/>
          <w:sz w:val="24"/>
          <w:szCs w:val="24"/>
          <w:highlight w:val="none"/>
        </w:rPr>
        <w:t>资金来源为</w:t>
      </w:r>
      <w:r>
        <w:rPr>
          <w:rFonts w:hint="eastAsia" w:ascii="宋体" w:hAnsi="宋体" w:eastAsia="宋体" w:cs="宋体"/>
          <w:color w:val="auto"/>
          <w:sz w:val="24"/>
          <w:szCs w:val="24"/>
          <w:highlight w:val="none"/>
          <w:lang w:eastAsia="zh-CN"/>
        </w:rPr>
        <w:t>财政资金</w:t>
      </w:r>
      <w:r>
        <w:rPr>
          <w:rFonts w:hint="eastAsia" w:ascii="宋体" w:hAnsi="宋体" w:eastAsia="宋体" w:cs="宋体"/>
          <w:color w:val="auto"/>
          <w:sz w:val="24"/>
          <w:szCs w:val="24"/>
          <w:highlight w:val="none"/>
        </w:rPr>
        <w:t>，采购人为</w:t>
      </w:r>
      <w:r>
        <w:rPr>
          <w:rFonts w:hint="eastAsia" w:ascii="宋体" w:hAnsi="宋体" w:eastAsia="宋体" w:cs="宋体"/>
          <w:color w:val="auto"/>
          <w:sz w:val="24"/>
          <w:szCs w:val="24"/>
          <w:highlight w:val="none"/>
          <w:lang w:eastAsia="zh-CN"/>
        </w:rPr>
        <w:t>三门峡市文博城事务中心，</w:t>
      </w:r>
      <w:r>
        <w:rPr>
          <w:rFonts w:hint="eastAsia" w:ascii="宋体" w:hAnsi="宋体" w:eastAsia="宋体" w:cs="宋体"/>
          <w:color w:val="auto"/>
          <w:sz w:val="24"/>
          <w:szCs w:val="24"/>
          <w:highlight w:val="none"/>
        </w:rPr>
        <w:t>采购代理机构为</w:t>
      </w:r>
      <w:r>
        <w:rPr>
          <w:rFonts w:hint="eastAsia" w:ascii="宋体" w:hAnsi="宋体" w:eastAsia="宋体" w:cs="宋体"/>
          <w:color w:val="auto"/>
          <w:sz w:val="24"/>
          <w:szCs w:val="24"/>
          <w:highlight w:val="none"/>
          <w:lang w:eastAsia="zh-CN"/>
        </w:rPr>
        <w:t>河南恒泽顺工程管理有限公司</w:t>
      </w:r>
      <w:r>
        <w:rPr>
          <w:rFonts w:hint="eastAsia" w:ascii="宋体" w:hAnsi="宋体" w:eastAsia="宋体" w:cs="宋体"/>
          <w:color w:val="auto"/>
          <w:sz w:val="24"/>
          <w:szCs w:val="24"/>
          <w:highlight w:val="none"/>
        </w:rPr>
        <w:t>。项目已具备招标条件，现对该项目进行竞争性磋商。</w:t>
      </w:r>
      <w:r>
        <w:rPr>
          <w:rFonts w:hint="eastAsia" w:ascii="宋体" w:hAnsi="宋体" w:eastAsia="宋体" w:cs="宋体"/>
          <w:color w:val="auto"/>
          <w:sz w:val="24"/>
          <w:szCs w:val="24"/>
          <w:highlight w:val="none"/>
          <w:lang w:val="en-US" w:eastAsia="zh-CN"/>
        </w:rPr>
        <w:t xml:space="preserve"> </w:t>
      </w:r>
    </w:p>
    <w:p w14:paraId="13616022">
      <w:pPr>
        <w:pageBreakBefore w:val="0"/>
        <w:kinsoku/>
        <w:overflowPunct/>
        <w:topLinePunct w:val="0"/>
        <w:bidi w:val="0"/>
        <w:spacing w:line="360" w:lineRule="auto"/>
        <w:ind w:firstLine="482" w:firstLineChars="200"/>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一、项目概况与磋商范围</w:t>
      </w:r>
    </w:p>
    <w:p w14:paraId="37A2A65B">
      <w:pPr>
        <w:pageBreakBefore w:val="0"/>
        <w:kinsoku/>
        <w:overflowPunct/>
        <w:topLinePunct w:val="0"/>
        <w:bidi w:val="0"/>
        <w:spacing w:line="360" w:lineRule="auto"/>
        <w:ind w:firstLine="480" w:firstLineChars="200"/>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文博城大剧院老旧设施设备维修改造项目</w:t>
      </w:r>
    </w:p>
    <w:p w14:paraId="4565DB5A">
      <w:pPr>
        <w:pageBreakBefore w:val="0"/>
        <w:kinsoku/>
        <w:overflowPunct/>
        <w:topLinePunct w:val="0"/>
        <w:bidi w:val="0"/>
        <w:spacing w:line="360" w:lineRule="auto"/>
        <w:ind w:firstLine="480" w:firstLineChars="200"/>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lang w:val="en-US" w:eastAsia="zh-CN"/>
        </w:rPr>
        <w:t>三财竞磋采购-2025-61  SGZ[2025]377-ZC260</w:t>
      </w:r>
    </w:p>
    <w:p w14:paraId="02C0CFA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color w:val="auto"/>
          <w:sz w:val="24"/>
          <w:szCs w:val="24"/>
          <w:highlight w:val="none"/>
        </w:rPr>
        <w:t>项目概况：</w:t>
      </w:r>
      <w:r>
        <w:rPr>
          <w:rFonts w:hint="eastAsia" w:ascii="宋体" w:hAnsi="宋体" w:eastAsia="宋体" w:cs="宋体"/>
          <w:color w:val="auto"/>
          <w:sz w:val="24"/>
          <w:szCs w:val="24"/>
          <w:highlight w:val="none"/>
          <w:lang w:val="en-US" w:eastAsia="zh-CN"/>
        </w:rPr>
        <w:t>本项目为文博城大剧院老旧设施设备维修改造项目，项目主要内容</w:t>
      </w:r>
      <w:r>
        <w:rPr>
          <w:rFonts w:hint="eastAsia" w:ascii="宋体" w:hAnsi="宋体" w:eastAsia="宋体" w:cs="宋体"/>
          <w:sz w:val="24"/>
          <w:szCs w:val="24"/>
          <w:highlight w:val="none"/>
          <w:lang w:val="en-US" w:eastAsia="zh-CN"/>
        </w:rPr>
        <w:t>为舞台灯光、会场照明设施、调音台等设施设备采购；主席台会议桌、舞台幕布、台布台尼等设施采购；舞台移动阶梯及化妆间整修等，具体内容详见招标文件。</w:t>
      </w:r>
    </w:p>
    <w:p w14:paraId="4FE0358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4.标段划分：</w:t>
      </w:r>
      <w:r>
        <w:rPr>
          <w:rFonts w:hint="eastAsia" w:ascii="宋体" w:hAnsi="宋体" w:eastAsia="宋体" w:cs="宋体"/>
          <w:sz w:val="24"/>
          <w:szCs w:val="24"/>
          <w:highlight w:val="none"/>
        </w:rPr>
        <w:t>本项目</w:t>
      </w:r>
      <w:r>
        <w:rPr>
          <w:rFonts w:hint="eastAsia" w:ascii="宋体" w:hAnsi="宋体" w:eastAsia="宋体" w:cs="宋体"/>
          <w:sz w:val="24"/>
          <w:szCs w:val="24"/>
          <w:highlight w:val="none"/>
          <w:lang w:val="en-US" w:eastAsia="zh-CN"/>
        </w:rPr>
        <w:t>共</w:t>
      </w:r>
      <w:r>
        <w:rPr>
          <w:rFonts w:hint="eastAsia" w:ascii="宋体" w:hAnsi="宋体" w:eastAsia="宋体" w:cs="宋体"/>
          <w:sz w:val="24"/>
          <w:szCs w:val="24"/>
          <w:highlight w:val="none"/>
        </w:rPr>
        <w:t>划分</w:t>
      </w:r>
      <w:r>
        <w:rPr>
          <w:rFonts w:hint="eastAsia" w:ascii="宋体" w:hAnsi="宋体" w:eastAsia="宋体" w:cs="宋体"/>
          <w:sz w:val="24"/>
          <w:szCs w:val="24"/>
          <w:highlight w:val="none"/>
          <w:lang w:val="en-US" w:eastAsia="zh-CN"/>
        </w:rPr>
        <w:t>三个标段，潜在供应商可以就三个标段同时参与</w:t>
      </w:r>
      <w:r>
        <w:rPr>
          <w:rFonts w:hint="eastAsia" w:ascii="宋体" w:hAnsi="宋体" w:eastAsia="宋体" w:cs="宋体"/>
          <w:sz w:val="24"/>
          <w:szCs w:val="24"/>
          <w:highlight w:val="none"/>
        </w:rPr>
        <w:t>。</w:t>
      </w:r>
    </w:p>
    <w:tbl>
      <w:tblPr>
        <w:tblStyle w:val="24"/>
        <w:tblW w:w="90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1559"/>
        <w:gridCol w:w="1416"/>
        <w:gridCol w:w="2089"/>
        <w:gridCol w:w="1481"/>
        <w:gridCol w:w="930"/>
        <w:gridCol w:w="930"/>
      </w:tblGrid>
      <w:tr w14:paraId="6B3D8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hRule="atLeast"/>
        </w:trPr>
        <w:tc>
          <w:tcPr>
            <w:tcW w:w="618" w:type="dxa"/>
            <w:vAlign w:val="center"/>
          </w:tcPr>
          <w:p w14:paraId="63C141E2">
            <w:pPr>
              <w:pageBreakBefore w:val="0"/>
              <w:kinsoku/>
              <w:overflowPunct/>
              <w:topLinePunct w:val="0"/>
              <w:bidi w:val="0"/>
              <w:spacing w:line="360" w:lineRule="auto"/>
              <w:jc w:val="center"/>
              <w:outlineLvl w:val="9"/>
              <w:rPr>
                <w:rFonts w:hint="eastAsia" w:ascii="宋体" w:hAnsi="宋体" w:eastAsia="宋体" w:cs="宋体"/>
                <w:b/>
                <w:bCs/>
                <w:sz w:val="24"/>
                <w:szCs w:val="24"/>
                <w:highlight w:val="none"/>
                <w:vertAlign w:val="baseline"/>
                <w:lang w:eastAsia="zh-CN"/>
              </w:rPr>
            </w:pPr>
            <w:r>
              <w:rPr>
                <w:rFonts w:hint="eastAsia" w:ascii="宋体" w:hAnsi="宋体" w:eastAsia="宋体" w:cs="宋体"/>
                <w:b/>
                <w:bCs/>
                <w:sz w:val="24"/>
                <w:szCs w:val="24"/>
                <w:highlight w:val="none"/>
                <w:vertAlign w:val="baseline"/>
                <w:lang w:val="en-US" w:eastAsia="zh-CN"/>
              </w:rPr>
              <w:t>序</w:t>
            </w:r>
            <w:r>
              <w:rPr>
                <w:rFonts w:hint="eastAsia" w:ascii="宋体" w:hAnsi="宋体" w:eastAsia="宋体" w:cs="宋体"/>
                <w:b/>
                <w:bCs/>
                <w:sz w:val="24"/>
                <w:szCs w:val="24"/>
                <w:highlight w:val="none"/>
                <w:vertAlign w:val="baseline"/>
                <w:lang w:eastAsia="zh-CN"/>
              </w:rPr>
              <w:t>号</w:t>
            </w:r>
          </w:p>
        </w:tc>
        <w:tc>
          <w:tcPr>
            <w:tcW w:w="1559" w:type="dxa"/>
            <w:vAlign w:val="center"/>
          </w:tcPr>
          <w:p w14:paraId="20FEE9F6">
            <w:pPr>
              <w:pageBreakBefore w:val="0"/>
              <w:kinsoku/>
              <w:overflowPunct/>
              <w:topLinePunct w:val="0"/>
              <w:bidi w:val="0"/>
              <w:spacing w:line="360" w:lineRule="auto"/>
              <w:jc w:val="center"/>
              <w:outlineLvl w:val="9"/>
              <w:rPr>
                <w:rFonts w:hint="eastAsia" w:ascii="宋体" w:hAnsi="宋体" w:eastAsia="宋体" w:cs="宋体"/>
                <w:b/>
                <w:bCs/>
                <w:sz w:val="24"/>
                <w:szCs w:val="24"/>
                <w:highlight w:val="none"/>
                <w:vertAlign w:val="baseline"/>
                <w:lang w:eastAsia="zh-CN"/>
              </w:rPr>
            </w:pPr>
            <w:r>
              <w:rPr>
                <w:rFonts w:hint="eastAsia" w:ascii="宋体" w:hAnsi="宋体" w:eastAsia="宋体" w:cs="宋体"/>
                <w:b/>
                <w:bCs/>
                <w:sz w:val="24"/>
                <w:szCs w:val="24"/>
                <w:highlight w:val="none"/>
                <w:vertAlign w:val="baseline"/>
                <w:lang w:val="en-US" w:eastAsia="zh-CN"/>
              </w:rPr>
              <w:t>标段</w:t>
            </w:r>
            <w:r>
              <w:rPr>
                <w:rFonts w:hint="eastAsia" w:ascii="宋体" w:hAnsi="宋体" w:eastAsia="宋体" w:cs="宋体"/>
                <w:b/>
                <w:bCs/>
                <w:sz w:val="24"/>
                <w:szCs w:val="24"/>
                <w:highlight w:val="none"/>
                <w:vertAlign w:val="baseline"/>
                <w:lang w:eastAsia="zh-CN"/>
              </w:rPr>
              <w:t>名称</w:t>
            </w:r>
          </w:p>
        </w:tc>
        <w:tc>
          <w:tcPr>
            <w:tcW w:w="1416" w:type="dxa"/>
            <w:vAlign w:val="center"/>
          </w:tcPr>
          <w:p w14:paraId="1D9ECDA3">
            <w:pPr>
              <w:pageBreakBefore w:val="0"/>
              <w:kinsoku/>
              <w:overflowPunct/>
              <w:topLinePunct w:val="0"/>
              <w:bidi w:val="0"/>
              <w:spacing w:line="360" w:lineRule="auto"/>
              <w:jc w:val="center"/>
              <w:outlineLvl w:val="9"/>
              <w:rPr>
                <w:rFonts w:hint="default"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eastAsia="zh-CN"/>
              </w:rPr>
              <w:t>最高限价（</w:t>
            </w:r>
            <w:r>
              <w:rPr>
                <w:rFonts w:hint="eastAsia" w:ascii="宋体" w:hAnsi="宋体" w:eastAsia="宋体" w:cs="宋体"/>
                <w:b/>
                <w:bCs/>
                <w:sz w:val="24"/>
                <w:szCs w:val="24"/>
                <w:highlight w:val="none"/>
                <w:vertAlign w:val="baseline"/>
                <w:lang w:val="en-US" w:eastAsia="zh-CN"/>
              </w:rPr>
              <w:t>元）</w:t>
            </w:r>
          </w:p>
        </w:tc>
        <w:tc>
          <w:tcPr>
            <w:tcW w:w="2089" w:type="dxa"/>
            <w:vAlign w:val="center"/>
          </w:tcPr>
          <w:p w14:paraId="1A304FC6">
            <w:pPr>
              <w:pageBreakBefore w:val="0"/>
              <w:kinsoku/>
              <w:overflowPunct/>
              <w:topLinePunct w:val="0"/>
              <w:bidi w:val="0"/>
              <w:spacing w:line="360" w:lineRule="auto"/>
              <w:jc w:val="center"/>
              <w:outlineLvl w:val="9"/>
              <w:rPr>
                <w:rFonts w:hint="eastAsia" w:ascii="宋体" w:hAnsi="宋体" w:eastAsia="宋体" w:cs="宋体"/>
                <w:b/>
                <w:bCs/>
                <w:sz w:val="24"/>
                <w:szCs w:val="24"/>
                <w:highlight w:val="none"/>
                <w:vertAlign w:val="baseline"/>
                <w:lang w:eastAsia="zh-CN"/>
              </w:rPr>
            </w:pPr>
            <w:r>
              <w:rPr>
                <w:rFonts w:hint="eastAsia" w:ascii="宋体" w:hAnsi="宋体" w:eastAsia="宋体" w:cs="宋体"/>
                <w:b/>
                <w:bCs/>
                <w:sz w:val="24"/>
                <w:szCs w:val="24"/>
                <w:highlight w:val="none"/>
                <w:vertAlign w:val="baseline"/>
                <w:lang w:eastAsia="zh-CN"/>
              </w:rPr>
              <w:t>采购内容</w:t>
            </w:r>
          </w:p>
        </w:tc>
        <w:tc>
          <w:tcPr>
            <w:tcW w:w="1481" w:type="dxa"/>
            <w:vAlign w:val="center"/>
          </w:tcPr>
          <w:p w14:paraId="50546A7B">
            <w:pPr>
              <w:pageBreakBefore w:val="0"/>
              <w:kinsoku/>
              <w:overflowPunct/>
              <w:topLinePunct w:val="0"/>
              <w:bidi w:val="0"/>
              <w:spacing w:line="360" w:lineRule="auto"/>
              <w:jc w:val="center"/>
              <w:outlineLvl w:val="9"/>
              <w:rPr>
                <w:rFonts w:hint="eastAsia" w:ascii="宋体" w:hAnsi="宋体" w:eastAsia="宋体" w:cs="宋体"/>
                <w:b/>
                <w:bCs/>
                <w:sz w:val="24"/>
                <w:szCs w:val="24"/>
                <w:highlight w:val="none"/>
                <w:vertAlign w:val="baseline"/>
                <w:lang w:eastAsia="zh-CN"/>
              </w:rPr>
            </w:pPr>
            <w:r>
              <w:rPr>
                <w:rFonts w:hint="eastAsia" w:ascii="宋体" w:hAnsi="宋体" w:eastAsia="宋体" w:cs="宋体"/>
                <w:b/>
                <w:bCs/>
                <w:sz w:val="24"/>
                <w:szCs w:val="24"/>
                <w:highlight w:val="none"/>
                <w:vertAlign w:val="baseline"/>
                <w:lang w:eastAsia="zh-CN"/>
              </w:rPr>
              <w:t>磋商范围</w:t>
            </w:r>
          </w:p>
        </w:tc>
        <w:tc>
          <w:tcPr>
            <w:tcW w:w="930" w:type="dxa"/>
            <w:vAlign w:val="center"/>
          </w:tcPr>
          <w:p w14:paraId="708352E1">
            <w:pPr>
              <w:pageBreakBefore w:val="0"/>
              <w:kinsoku/>
              <w:overflowPunct/>
              <w:topLinePunct w:val="0"/>
              <w:bidi w:val="0"/>
              <w:spacing w:line="360" w:lineRule="auto"/>
              <w:jc w:val="center"/>
              <w:outlineLvl w:val="9"/>
              <w:rPr>
                <w:rFonts w:hint="default"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eastAsia="zh-CN"/>
              </w:rPr>
              <w:t>工期</w:t>
            </w:r>
            <w:r>
              <w:rPr>
                <w:rFonts w:hint="eastAsia" w:ascii="宋体" w:hAnsi="宋体" w:eastAsia="宋体" w:cs="宋体"/>
                <w:b/>
                <w:bCs/>
                <w:sz w:val="24"/>
                <w:szCs w:val="24"/>
                <w:highlight w:val="none"/>
                <w:vertAlign w:val="baseline"/>
                <w:lang w:val="en-US" w:eastAsia="zh-CN"/>
              </w:rPr>
              <w:t>/交货期</w:t>
            </w:r>
          </w:p>
        </w:tc>
        <w:tc>
          <w:tcPr>
            <w:tcW w:w="930" w:type="dxa"/>
            <w:vAlign w:val="center"/>
          </w:tcPr>
          <w:p w14:paraId="1DD03FB5">
            <w:pPr>
              <w:pageBreakBefore w:val="0"/>
              <w:kinsoku/>
              <w:overflowPunct/>
              <w:topLinePunct w:val="0"/>
              <w:bidi w:val="0"/>
              <w:spacing w:line="360" w:lineRule="auto"/>
              <w:jc w:val="center"/>
              <w:outlineLvl w:val="9"/>
              <w:rPr>
                <w:rFonts w:hint="default"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质保</w:t>
            </w:r>
          </w:p>
        </w:tc>
      </w:tr>
      <w:tr w14:paraId="2BEC0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618" w:type="dxa"/>
            <w:vAlign w:val="center"/>
          </w:tcPr>
          <w:p w14:paraId="7C71EB51">
            <w:pPr>
              <w:pageBreakBefore w:val="0"/>
              <w:kinsoku/>
              <w:overflowPunct/>
              <w:topLinePunct w:val="0"/>
              <w:bidi w:val="0"/>
              <w:spacing w:line="360" w:lineRule="auto"/>
              <w:jc w:val="center"/>
              <w:outlineLvl w:val="9"/>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1559" w:type="dxa"/>
            <w:vAlign w:val="center"/>
          </w:tcPr>
          <w:p w14:paraId="7B6CC0CF">
            <w:pPr>
              <w:pageBreakBefore w:val="0"/>
              <w:kinsoku/>
              <w:overflowPunct/>
              <w:topLinePunct w:val="0"/>
              <w:bidi w:val="0"/>
              <w:spacing w:line="360" w:lineRule="auto"/>
              <w:jc w:val="both"/>
              <w:outlineLvl w:val="9"/>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文博城大剧院老旧设施设备维修改造项目</w:t>
            </w:r>
            <w:r>
              <w:rPr>
                <w:rFonts w:hint="eastAsia" w:ascii="宋体" w:hAnsi="宋体" w:eastAsia="宋体" w:cs="宋体"/>
                <w:sz w:val="21"/>
                <w:szCs w:val="21"/>
                <w:highlight w:val="none"/>
                <w:lang w:val="en-US" w:eastAsia="zh-CN"/>
              </w:rPr>
              <w:t>一标段</w:t>
            </w:r>
          </w:p>
        </w:tc>
        <w:tc>
          <w:tcPr>
            <w:tcW w:w="1416" w:type="dxa"/>
            <w:shd w:val="clear" w:color="auto" w:fill="auto"/>
            <w:vAlign w:val="center"/>
          </w:tcPr>
          <w:p w14:paraId="09E91F71">
            <w:pPr>
              <w:keepNext w:val="0"/>
              <w:keepLines w:val="0"/>
              <w:widowControl/>
              <w:suppressLineNumbers w:val="0"/>
              <w:jc w:val="center"/>
              <w:textAlignment w:val="center"/>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684016.00</w:t>
            </w:r>
          </w:p>
        </w:tc>
        <w:tc>
          <w:tcPr>
            <w:tcW w:w="2089" w:type="dxa"/>
            <w:vAlign w:val="center"/>
          </w:tcPr>
          <w:p w14:paraId="5F98E3F1">
            <w:pPr>
              <w:pageBreakBefore w:val="0"/>
              <w:kinsoku/>
              <w:overflowPunct/>
              <w:topLinePunct w:val="0"/>
              <w:bidi w:val="0"/>
              <w:spacing w:line="360" w:lineRule="auto"/>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舞台灯光、会场照明设施、调音台等设施设备采购</w:t>
            </w:r>
          </w:p>
        </w:tc>
        <w:tc>
          <w:tcPr>
            <w:tcW w:w="1481" w:type="dxa"/>
            <w:vAlign w:val="center"/>
          </w:tcPr>
          <w:p w14:paraId="3C5E13D6">
            <w:pPr>
              <w:pageBreakBefore w:val="0"/>
              <w:kinsoku/>
              <w:overflowPunct/>
              <w:topLinePunct w:val="0"/>
              <w:bidi w:val="0"/>
              <w:spacing w:line="360" w:lineRule="auto"/>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磋商文件和</w:t>
            </w:r>
            <w:r>
              <w:rPr>
                <w:rFonts w:hint="eastAsia" w:ascii="宋体" w:hAnsi="宋体" w:eastAsia="宋体" w:cs="宋体"/>
                <w:sz w:val="21"/>
                <w:szCs w:val="21"/>
                <w:highlight w:val="none"/>
                <w:lang w:eastAsia="zh-CN"/>
              </w:rPr>
              <w:t>采购内容及要求</w:t>
            </w:r>
            <w:r>
              <w:rPr>
                <w:rFonts w:hint="eastAsia" w:ascii="宋体" w:hAnsi="宋体" w:eastAsia="宋体" w:cs="宋体"/>
                <w:sz w:val="21"/>
                <w:szCs w:val="21"/>
                <w:highlight w:val="none"/>
              </w:rPr>
              <w:t>标示的全部内容</w:t>
            </w:r>
          </w:p>
        </w:tc>
        <w:tc>
          <w:tcPr>
            <w:tcW w:w="930" w:type="dxa"/>
            <w:vAlign w:val="center"/>
          </w:tcPr>
          <w:p w14:paraId="4CD86F49">
            <w:pPr>
              <w:pageBreakBefore w:val="0"/>
              <w:kinsoku/>
              <w:overflowPunct/>
              <w:topLinePunct w:val="0"/>
              <w:bidi w:val="0"/>
              <w:spacing w:line="360" w:lineRule="auto"/>
              <w:jc w:val="center"/>
              <w:outlineLvl w:val="9"/>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40日历天</w:t>
            </w:r>
          </w:p>
        </w:tc>
        <w:tc>
          <w:tcPr>
            <w:tcW w:w="930" w:type="dxa"/>
            <w:vAlign w:val="center"/>
          </w:tcPr>
          <w:p w14:paraId="3B0F5C67">
            <w:pPr>
              <w:pageBreakBefore w:val="0"/>
              <w:kinsoku/>
              <w:overflowPunct/>
              <w:topLinePunct w:val="0"/>
              <w:bidi w:val="0"/>
              <w:spacing w:line="360" w:lineRule="auto"/>
              <w:jc w:val="center"/>
              <w:outlineLvl w:val="9"/>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1年</w:t>
            </w:r>
          </w:p>
        </w:tc>
      </w:tr>
      <w:tr w14:paraId="148F2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trPr>
        <w:tc>
          <w:tcPr>
            <w:tcW w:w="618" w:type="dxa"/>
            <w:vAlign w:val="center"/>
          </w:tcPr>
          <w:p w14:paraId="3F583AFE">
            <w:pPr>
              <w:pageBreakBefore w:val="0"/>
              <w:kinsoku/>
              <w:overflowPunct/>
              <w:topLinePunct w:val="0"/>
              <w:bidi w:val="0"/>
              <w:spacing w:line="360" w:lineRule="auto"/>
              <w:jc w:val="center"/>
              <w:outlineLvl w:val="9"/>
              <w:rPr>
                <w:rFonts w:hint="default"/>
                <w:sz w:val="21"/>
                <w:szCs w:val="21"/>
                <w:highlight w:val="none"/>
                <w:lang w:val="en-US" w:eastAsia="zh-CN"/>
              </w:rPr>
            </w:pPr>
            <w:r>
              <w:rPr>
                <w:rFonts w:hint="eastAsia" w:ascii="宋体" w:hAnsi="宋体" w:eastAsia="宋体" w:cs="宋体"/>
                <w:sz w:val="21"/>
                <w:szCs w:val="21"/>
                <w:highlight w:val="none"/>
                <w:vertAlign w:val="baseline"/>
                <w:lang w:val="en-US" w:eastAsia="zh-CN"/>
              </w:rPr>
              <w:t>2</w:t>
            </w:r>
          </w:p>
        </w:tc>
        <w:tc>
          <w:tcPr>
            <w:tcW w:w="1559" w:type="dxa"/>
            <w:vAlign w:val="center"/>
          </w:tcPr>
          <w:p w14:paraId="01EAEBB7">
            <w:pPr>
              <w:pageBreakBefore w:val="0"/>
              <w:kinsoku/>
              <w:overflowPunct/>
              <w:topLinePunct w:val="0"/>
              <w:bidi w:val="0"/>
              <w:spacing w:line="360" w:lineRule="auto"/>
              <w:jc w:val="both"/>
              <w:outlineLvl w:val="9"/>
              <w:rPr>
                <w:rFonts w:hint="eastAsia" w:ascii="宋体" w:hAnsi="宋体" w:eastAsia="宋体" w:cs="宋体"/>
                <w:sz w:val="21"/>
                <w:szCs w:val="21"/>
                <w:highlight w:val="none"/>
                <w:lang w:eastAsia="zh-CN"/>
              </w:rPr>
            </w:pPr>
          </w:p>
          <w:p w14:paraId="14DF799E">
            <w:pPr>
              <w:pageBreakBefore w:val="0"/>
              <w:kinsoku/>
              <w:overflowPunct/>
              <w:topLinePunct w:val="0"/>
              <w:bidi w:val="0"/>
              <w:spacing w:line="360" w:lineRule="auto"/>
              <w:jc w:val="both"/>
              <w:outlineLvl w:val="9"/>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文博城大剧院老旧设施设备维修改造项目</w:t>
            </w:r>
            <w:r>
              <w:rPr>
                <w:rFonts w:hint="eastAsia" w:ascii="宋体" w:hAnsi="宋体" w:eastAsia="宋体" w:cs="宋体"/>
                <w:sz w:val="21"/>
                <w:szCs w:val="21"/>
                <w:highlight w:val="none"/>
                <w:lang w:val="en-US" w:eastAsia="zh-CN"/>
              </w:rPr>
              <w:t>二标段</w:t>
            </w:r>
          </w:p>
        </w:tc>
        <w:tc>
          <w:tcPr>
            <w:tcW w:w="1416" w:type="dxa"/>
            <w:shd w:val="clear" w:color="auto" w:fill="auto"/>
            <w:vAlign w:val="center"/>
          </w:tcPr>
          <w:p w14:paraId="0ABABFB9">
            <w:pPr>
              <w:keepNext w:val="0"/>
              <w:keepLines w:val="0"/>
              <w:widowControl/>
              <w:suppressLineNumbers w:val="0"/>
              <w:jc w:val="center"/>
              <w:textAlignment w:val="center"/>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255250.00</w:t>
            </w:r>
          </w:p>
        </w:tc>
        <w:tc>
          <w:tcPr>
            <w:tcW w:w="2089" w:type="dxa"/>
            <w:vAlign w:val="center"/>
          </w:tcPr>
          <w:p w14:paraId="1018DB98">
            <w:pPr>
              <w:pageBreakBefore w:val="0"/>
              <w:kinsoku/>
              <w:overflowPunct/>
              <w:topLinePunct w:val="0"/>
              <w:bidi w:val="0"/>
              <w:spacing w:line="36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主席台会议桌、舞台幕布、台布台尼等</w:t>
            </w:r>
          </w:p>
        </w:tc>
        <w:tc>
          <w:tcPr>
            <w:tcW w:w="1481" w:type="dxa"/>
            <w:vAlign w:val="center"/>
          </w:tcPr>
          <w:p w14:paraId="40A40F7C">
            <w:pPr>
              <w:pageBreakBefore w:val="0"/>
              <w:kinsoku/>
              <w:overflowPunct/>
              <w:topLinePunct w:val="0"/>
              <w:bidi w:val="0"/>
              <w:spacing w:line="360" w:lineRule="auto"/>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磋商文件和</w:t>
            </w:r>
            <w:r>
              <w:rPr>
                <w:rFonts w:hint="eastAsia" w:ascii="宋体" w:hAnsi="宋体" w:eastAsia="宋体" w:cs="宋体"/>
                <w:sz w:val="21"/>
                <w:szCs w:val="21"/>
                <w:highlight w:val="none"/>
                <w:lang w:eastAsia="zh-CN"/>
              </w:rPr>
              <w:t>采购内容及要求</w:t>
            </w:r>
            <w:r>
              <w:rPr>
                <w:rFonts w:hint="eastAsia" w:ascii="宋体" w:hAnsi="宋体" w:eastAsia="宋体" w:cs="宋体"/>
                <w:sz w:val="21"/>
                <w:szCs w:val="21"/>
                <w:highlight w:val="none"/>
              </w:rPr>
              <w:t>标示的全部内容</w:t>
            </w:r>
          </w:p>
        </w:tc>
        <w:tc>
          <w:tcPr>
            <w:tcW w:w="930" w:type="dxa"/>
            <w:vAlign w:val="center"/>
          </w:tcPr>
          <w:p w14:paraId="4FEC649E">
            <w:pPr>
              <w:pageBreakBefore w:val="0"/>
              <w:kinsoku/>
              <w:overflowPunct/>
              <w:topLinePunct w:val="0"/>
              <w:bidi w:val="0"/>
              <w:spacing w:line="360" w:lineRule="auto"/>
              <w:jc w:val="center"/>
              <w:outlineLvl w:val="9"/>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30日历天</w:t>
            </w:r>
          </w:p>
        </w:tc>
        <w:tc>
          <w:tcPr>
            <w:tcW w:w="930" w:type="dxa"/>
            <w:vAlign w:val="center"/>
          </w:tcPr>
          <w:p w14:paraId="29C1B399">
            <w:pPr>
              <w:pageBreakBefore w:val="0"/>
              <w:kinsoku/>
              <w:overflowPunct/>
              <w:topLinePunct w:val="0"/>
              <w:bidi w:val="0"/>
              <w:spacing w:line="360" w:lineRule="auto"/>
              <w:jc w:val="center"/>
              <w:outlineLvl w:val="9"/>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1年</w:t>
            </w:r>
          </w:p>
        </w:tc>
      </w:tr>
      <w:tr w14:paraId="7BA88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618" w:type="dxa"/>
            <w:vAlign w:val="center"/>
          </w:tcPr>
          <w:p w14:paraId="065DA0EB">
            <w:pPr>
              <w:pageBreakBefore w:val="0"/>
              <w:kinsoku/>
              <w:overflowPunct/>
              <w:topLinePunct w:val="0"/>
              <w:bidi w:val="0"/>
              <w:spacing w:line="360" w:lineRule="auto"/>
              <w:jc w:val="center"/>
              <w:outlineLvl w:val="9"/>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w:t>
            </w:r>
          </w:p>
        </w:tc>
        <w:tc>
          <w:tcPr>
            <w:tcW w:w="1559" w:type="dxa"/>
            <w:vAlign w:val="center"/>
          </w:tcPr>
          <w:p w14:paraId="5F804AD8">
            <w:pPr>
              <w:pageBreakBefore w:val="0"/>
              <w:kinsoku/>
              <w:overflowPunct/>
              <w:topLinePunct w:val="0"/>
              <w:bidi w:val="0"/>
              <w:spacing w:line="360" w:lineRule="auto"/>
              <w:jc w:val="both"/>
              <w:outlineLvl w:val="9"/>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文博城大剧院老旧设施设备维修改造项目</w:t>
            </w:r>
            <w:r>
              <w:rPr>
                <w:rFonts w:hint="eastAsia" w:ascii="宋体" w:hAnsi="宋体" w:eastAsia="宋体" w:cs="宋体"/>
                <w:sz w:val="21"/>
                <w:szCs w:val="21"/>
                <w:highlight w:val="none"/>
                <w:lang w:val="en-US" w:eastAsia="zh-CN"/>
              </w:rPr>
              <w:t>三标段</w:t>
            </w:r>
          </w:p>
        </w:tc>
        <w:tc>
          <w:tcPr>
            <w:tcW w:w="1416" w:type="dxa"/>
            <w:shd w:val="clear" w:color="auto" w:fill="auto"/>
            <w:vAlign w:val="center"/>
          </w:tcPr>
          <w:p w14:paraId="493E00BA">
            <w:pPr>
              <w:keepNext w:val="0"/>
              <w:keepLines w:val="0"/>
              <w:widowControl/>
              <w:suppressLineNumbers w:val="0"/>
              <w:jc w:val="center"/>
              <w:textAlignment w:val="center"/>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239837.95</w:t>
            </w:r>
          </w:p>
        </w:tc>
        <w:tc>
          <w:tcPr>
            <w:tcW w:w="2089" w:type="dxa"/>
            <w:vAlign w:val="center"/>
          </w:tcPr>
          <w:p w14:paraId="675D21E7">
            <w:pPr>
              <w:pageBreakBefore w:val="0"/>
              <w:kinsoku/>
              <w:overflowPunct/>
              <w:topLinePunct w:val="0"/>
              <w:bidi w:val="0"/>
              <w:spacing w:line="36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舞台移动阶梯及化妆间整修</w:t>
            </w:r>
          </w:p>
        </w:tc>
        <w:tc>
          <w:tcPr>
            <w:tcW w:w="1481" w:type="dxa"/>
            <w:vAlign w:val="center"/>
          </w:tcPr>
          <w:p w14:paraId="574B21D1">
            <w:pPr>
              <w:pageBreakBefore w:val="0"/>
              <w:kinsoku/>
              <w:overflowPunct/>
              <w:topLinePunct w:val="0"/>
              <w:bidi w:val="0"/>
              <w:spacing w:line="360" w:lineRule="auto"/>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施工图纸、磋商文件和工程量清单标示的全部内容</w:t>
            </w:r>
          </w:p>
        </w:tc>
        <w:tc>
          <w:tcPr>
            <w:tcW w:w="930" w:type="dxa"/>
            <w:vAlign w:val="center"/>
          </w:tcPr>
          <w:p w14:paraId="79D91212">
            <w:pPr>
              <w:pageBreakBefore w:val="0"/>
              <w:kinsoku/>
              <w:overflowPunct/>
              <w:topLinePunct w:val="0"/>
              <w:bidi w:val="0"/>
              <w:spacing w:line="360" w:lineRule="auto"/>
              <w:jc w:val="center"/>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40日历天</w:t>
            </w:r>
          </w:p>
        </w:tc>
        <w:tc>
          <w:tcPr>
            <w:tcW w:w="930" w:type="dxa"/>
            <w:vAlign w:val="center"/>
          </w:tcPr>
          <w:p w14:paraId="4B21ED82">
            <w:pPr>
              <w:pageBreakBefore w:val="0"/>
              <w:kinsoku/>
              <w:overflowPunct/>
              <w:topLinePunct w:val="0"/>
              <w:bidi w:val="0"/>
              <w:spacing w:line="360" w:lineRule="auto"/>
              <w:jc w:val="center"/>
              <w:outlineLvl w:val="9"/>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r>
    </w:tbl>
    <w:p w14:paraId="34D19A0D">
      <w:pPr>
        <w:pageBreakBefore w:val="0"/>
        <w:kinsoku/>
        <w:overflowPunct/>
        <w:topLinePunct w:val="0"/>
        <w:bidi w:val="0"/>
        <w:spacing w:line="360" w:lineRule="auto"/>
        <w:ind w:firstLine="480" w:firstLineChars="200"/>
        <w:jc w:val="lef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控制价：</w:t>
      </w:r>
      <w:r>
        <w:rPr>
          <w:rFonts w:hint="eastAsia" w:ascii="宋体" w:hAnsi="宋体" w:eastAsia="宋体" w:cs="宋体"/>
          <w:sz w:val="24"/>
          <w:szCs w:val="24"/>
          <w:highlight w:val="none"/>
          <w:lang w:val="en-US" w:eastAsia="zh-CN"/>
        </w:rPr>
        <w:t>1179103.95</w:t>
      </w:r>
      <w:r>
        <w:rPr>
          <w:rFonts w:hint="eastAsia" w:ascii="宋体" w:hAnsi="宋体" w:eastAsia="宋体" w:cs="宋体"/>
          <w:sz w:val="24"/>
          <w:szCs w:val="24"/>
          <w:highlight w:val="none"/>
        </w:rPr>
        <w:t>元</w:t>
      </w:r>
      <w:r>
        <w:rPr>
          <w:rFonts w:hint="eastAsia" w:ascii="宋体" w:hAnsi="宋体" w:eastAsia="宋体" w:cs="宋体"/>
          <w:sz w:val="24"/>
          <w:szCs w:val="24"/>
          <w:highlight w:val="none"/>
          <w:lang w:eastAsia="zh-CN"/>
        </w:rPr>
        <w:t>（其</w:t>
      </w:r>
      <w:r>
        <w:rPr>
          <w:rFonts w:hint="eastAsia" w:ascii="宋体" w:hAnsi="宋体" w:eastAsia="宋体" w:cs="宋体"/>
          <w:sz w:val="24"/>
          <w:szCs w:val="24"/>
          <w:highlight w:val="none"/>
          <w:lang w:val="en-US" w:eastAsia="zh-CN"/>
        </w:rPr>
        <w:t>中一标段：684016.00</w:t>
      </w:r>
      <w:r>
        <w:rPr>
          <w:rFonts w:hint="eastAsia" w:ascii="宋体" w:hAnsi="宋体" w:eastAsia="宋体" w:cs="宋体"/>
          <w:sz w:val="24"/>
          <w:szCs w:val="24"/>
          <w:highlight w:val="none"/>
        </w:rPr>
        <w:t>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二标段:255250.00元，三标段：239837.95元</w:t>
      </w:r>
      <w:r>
        <w:rPr>
          <w:rFonts w:hint="eastAsia" w:ascii="宋体" w:hAnsi="宋体" w:eastAsia="宋体" w:cs="宋体"/>
          <w:sz w:val="24"/>
          <w:szCs w:val="24"/>
          <w:highlight w:val="none"/>
          <w:lang w:eastAsia="zh-CN"/>
        </w:rPr>
        <w:t>）</w:t>
      </w:r>
    </w:p>
    <w:p w14:paraId="13FB6DC8">
      <w:pPr>
        <w:pageBreakBefore w:val="0"/>
        <w:kinsoku/>
        <w:overflowPunct/>
        <w:topLinePunct w:val="0"/>
        <w:bidi w:val="0"/>
        <w:spacing w:line="360" w:lineRule="auto"/>
        <w:ind w:firstLine="480" w:firstLineChars="200"/>
        <w:jc w:val="lef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资金来源</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eastAsia="zh-CN"/>
        </w:rPr>
        <w:t>财政资金</w:t>
      </w:r>
      <w:r>
        <w:rPr>
          <w:rFonts w:hint="eastAsia" w:ascii="宋体" w:hAnsi="宋体" w:eastAsia="宋体"/>
          <w:color w:val="auto"/>
          <w:sz w:val="24"/>
          <w:szCs w:val="24"/>
          <w:highlight w:val="none"/>
        </w:rPr>
        <w:t>，已落</w:t>
      </w:r>
      <w:r>
        <w:rPr>
          <w:rFonts w:hint="eastAsia" w:ascii="宋体" w:hAnsi="宋体" w:eastAsia="宋体" w:cs="宋体"/>
          <w:color w:val="auto"/>
          <w:sz w:val="24"/>
          <w:szCs w:val="24"/>
          <w:highlight w:val="none"/>
        </w:rPr>
        <w:t>实</w:t>
      </w:r>
      <w:r>
        <w:rPr>
          <w:rFonts w:hint="eastAsia" w:ascii="宋体" w:hAnsi="宋体" w:eastAsia="宋体" w:cs="宋体"/>
          <w:color w:val="auto"/>
          <w:sz w:val="24"/>
          <w:szCs w:val="24"/>
          <w:highlight w:val="none"/>
          <w:lang w:eastAsia="zh-CN"/>
        </w:rPr>
        <w:t>；</w:t>
      </w:r>
    </w:p>
    <w:p w14:paraId="4FF27B93">
      <w:pPr>
        <w:pageBreakBefore w:val="0"/>
        <w:kinsoku/>
        <w:overflowPunct/>
        <w:topLinePunct w:val="0"/>
        <w:bidi w:val="0"/>
        <w:spacing w:line="360" w:lineRule="auto"/>
        <w:ind w:firstLine="480" w:firstLineChars="200"/>
        <w:jc w:val="lef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olor w:val="auto"/>
          <w:sz w:val="24"/>
          <w:szCs w:val="24"/>
          <w:highlight w:val="none"/>
        </w:rPr>
        <w:t>质量要求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合格，符合国家有关行业标准和相关法律法规规定；</w:t>
      </w:r>
    </w:p>
    <w:p w14:paraId="091648C4">
      <w:pPr>
        <w:keepNext w:val="0"/>
        <w:keepLines w:val="0"/>
        <w:pageBreakBefore w:val="0"/>
        <w:widowControl/>
        <w:kinsoku/>
        <w:wordWrap/>
        <w:overflowPunct/>
        <w:topLinePunct w:val="0"/>
        <w:autoSpaceDE/>
        <w:autoSpaceDN/>
        <w:bidi w:val="0"/>
        <w:spacing w:line="360" w:lineRule="auto"/>
        <w:ind w:firstLine="480" w:firstLineChars="200"/>
        <w:rPr>
          <w:rFonts w:hint="eastAsia" w:ascii="宋体" w:hAnsi="宋体" w:cs="宋体" w:eastAsiaTheme="minorEastAsia"/>
          <w:color w:val="auto"/>
          <w:sz w:val="24"/>
          <w:szCs w:val="24"/>
          <w:highlight w:val="none"/>
          <w:lang w:eastAsia="zh-CN"/>
        </w:rPr>
      </w:pPr>
      <w:r>
        <w:rPr>
          <w:rFonts w:hint="eastAsia" w:ascii="宋体" w:hAnsi="宋体" w:cs="宋体"/>
          <w:color w:val="auto"/>
          <w:kern w:val="0"/>
          <w:sz w:val="24"/>
          <w:highlight w:val="none"/>
          <w:shd w:val="clear" w:color="auto" w:fill="FFFFFF" w:themeFill="background1"/>
          <w:lang w:val="en-US" w:eastAsia="zh-CN"/>
        </w:rPr>
        <w:t>8.</w:t>
      </w:r>
      <w:r>
        <w:rPr>
          <w:rFonts w:hint="eastAsia" w:ascii="宋体" w:hAnsi="宋体" w:cs="宋体"/>
          <w:color w:val="auto"/>
          <w:sz w:val="24"/>
          <w:szCs w:val="22"/>
          <w:highlight w:val="none"/>
        </w:rPr>
        <w:t>执行的政府采购政策：促进中小型企业发展政策（监狱企业、残疾人福利性企业视同小微企业）等政府采购政策</w:t>
      </w:r>
      <w:r>
        <w:rPr>
          <w:rFonts w:hint="eastAsia" w:ascii="宋体" w:hAnsi="宋体" w:cs="宋体"/>
          <w:color w:val="auto"/>
          <w:kern w:val="0"/>
          <w:sz w:val="24"/>
          <w:highlight w:val="none"/>
          <w:shd w:val="clear" w:color="auto" w:fill="FFFFFF" w:themeFill="background1"/>
          <w:lang w:eastAsia="zh-CN"/>
        </w:rPr>
        <w:t>；</w:t>
      </w:r>
    </w:p>
    <w:p w14:paraId="1C4F3B8B">
      <w:pPr>
        <w:pageBreakBefore w:val="0"/>
        <w:kinsoku/>
        <w:overflowPunct/>
        <w:topLinePunct w:val="0"/>
        <w:bidi w:val="0"/>
        <w:spacing w:line="360" w:lineRule="auto"/>
        <w:ind w:firstLine="482" w:firstLineChars="200"/>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资格要求</w:t>
      </w:r>
    </w:p>
    <w:p w14:paraId="2A138C8E">
      <w:pPr>
        <w:pStyle w:val="21"/>
        <w:ind w:firstLine="482" w:firstLineChars="200"/>
        <w:rPr>
          <w:rFonts w:hint="eastAsia"/>
          <w:highlight w:val="none"/>
        </w:rPr>
      </w:pPr>
      <w:r>
        <w:rPr>
          <w:rFonts w:hint="eastAsia" w:ascii="宋体" w:hAnsi="宋体" w:eastAsia="宋体" w:cs="宋体"/>
          <w:b/>
          <w:bCs/>
          <w:kern w:val="0"/>
          <w:sz w:val="24"/>
          <w:highlight w:val="none"/>
          <w:shd w:val="clear" w:color="auto" w:fill="FFFFFF" w:themeFill="background1"/>
          <w:lang w:val="en-US" w:eastAsia="zh-CN"/>
        </w:rPr>
        <w:t>一标段、二标段供应商资格要求：</w:t>
      </w:r>
    </w:p>
    <w:p w14:paraId="3A54AF2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ascii="宋体" w:hAnsi="宋体" w:eastAsia="宋体" w:cs="宋体"/>
          <w:color w:val="auto"/>
          <w:sz w:val="24"/>
          <w:szCs w:val="28"/>
          <w:highlight w:val="none"/>
          <w:lang w:val="en-US" w:eastAsia="zh-CN"/>
        </w:rPr>
        <w:t>1.供应商参加本次采购活动必须符合《中华人民共和国政府采购法》第二十二条的规定，需提供相应内容的承诺函。</w:t>
      </w:r>
    </w:p>
    <w:p w14:paraId="648C465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2.</w:t>
      </w:r>
      <w:r>
        <w:rPr>
          <w:rFonts w:hint="eastAsia" w:ascii="宋体" w:hAnsi="宋体" w:eastAsia="宋体" w:cs="宋体"/>
          <w:sz w:val="24"/>
          <w:szCs w:val="24"/>
          <w:highlight w:val="none"/>
          <w:lang w:eastAsia="zh-CN"/>
        </w:rPr>
        <w:t>供应商须具备独立法人资格，具有有效的营业执照</w:t>
      </w:r>
      <w:r>
        <w:rPr>
          <w:rFonts w:hint="eastAsia" w:ascii="宋体" w:hAnsi="宋体" w:eastAsia="宋体" w:cs="宋体"/>
          <w:color w:val="auto"/>
          <w:sz w:val="24"/>
          <w:szCs w:val="28"/>
          <w:highlight w:val="none"/>
          <w:lang w:val="en-US" w:eastAsia="zh-CN"/>
        </w:rPr>
        <w:t>；</w:t>
      </w:r>
    </w:p>
    <w:p w14:paraId="5EDBC18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3.</w:t>
      </w:r>
      <w:r>
        <w:rPr>
          <w:rFonts w:hint="eastAsia" w:ascii="宋体" w:hAnsi="宋体" w:eastAsia="宋体" w:cs="宋体"/>
          <w:sz w:val="24"/>
          <w:szCs w:val="24"/>
          <w:highlight w:val="none"/>
          <w:lang w:eastAsia="zh-CN"/>
        </w:rPr>
        <w:t>供应商须自行出具本单位无商业贿赂及无不正当竞争行为的承诺书</w:t>
      </w:r>
      <w:r>
        <w:rPr>
          <w:rFonts w:hint="eastAsia"/>
          <w:sz w:val="24"/>
          <w:szCs w:val="24"/>
          <w:highlight w:val="none"/>
          <w:lang w:val="en-US" w:eastAsia="zh-CN"/>
        </w:rPr>
        <w:t>（承诺书格式自拟）</w:t>
      </w:r>
      <w:r>
        <w:rPr>
          <w:rFonts w:hint="eastAsia" w:ascii="宋体" w:hAnsi="宋体" w:eastAsia="宋体" w:cs="宋体"/>
          <w:color w:val="auto"/>
          <w:sz w:val="24"/>
          <w:szCs w:val="28"/>
          <w:highlight w:val="none"/>
          <w:lang w:val="en-US" w:eastAsia="zh-CN"/>
        </w:rPr>
        <w:t>；</w:t>
      </w:r>
    </w:p>
    <w:p w14:paraId="71DED822">
      <w:pPr>
        <w:keepNext w:val="0"/>
        <w:keepLines w:val="0"/>
        <w:pageBreakBefore w:val="0"/>
        <w:widowControl/>
        <w:shd w:val="clear" w:color="auto" w:fill="auto"/>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highlight w:val="none"/>
          <w:lang w:val="en-US" w:eastAsia="zh-CN"/>
        </w:rPr>
      </w:pPr>
      <w:bookmarkStart w:id="7" w:name="_Toc20621"/>
      <w:bookmarkStart w:id="8" w:name="_Toc26152"/>
      <w:bookmarkStart w:id="9" w:name="_Toc7295"/>
      <w:bookmarkStart w:id="10" w:name="_Toc4582"/>
      <w:r>
        <w:rPr>
          <w:rFonts w:hint="eastAsia" w:ascii="宋体" w:hAnsi="宋体" w:eastAsia="宋体" w:cs="宋体"/>
          <w:sz w:val="24"/>
          <w:szCs w:val="28"/>
          <w:highlight w:val="none"/>
          <w:lang w:val="en-US" w:eastAsia="zh-CN"/>
        </w:rPr>
        <w:t>4.</w:t>
      </w:r>
      <w:bookmarkEnd w:id="7"/>
      <w:bookmarkEnd w:id="8"/>
      <w:bookmarkEnd w:id="9"/>
      <w:bookmarkStart w:id="11" w:name="_Toc2143"/>
      <w:bookmarkStart w:id="12" w:name="_Toc10177"/>
      <w:bookmarkStart w:id="13" w:name="_Toc17281"/>
      <w:r>
        <w:rPr>
          <w:rFonts w:hint="eastAsia" w:ascii="宋体" w:hAnsi="宋体" w:eastAsia="宋体" w:cs="宋体"/>
          <w:sz w:val="24"/>
          <w:szCs w:val="24"/>
          <w:highlight w:val="none"/>
          <w:lang w:val="en-US" w:eastAsia="zh-CN"/>
        </w:rPr>
        <w:t>根据</w:t>
      </w:r>
      <w:r>
        <w:rPr>
          <w:rFonts w:hint="eastAsia" w:ascii="宋体" w:hAnsi="宋体" w:eastAsia="宋体" w:cs="宋体"/>
          <w:sz w:val="24"/>
          <w:highlight w:val="none"/>
          <w:lang w:val="en-US" w:eastAsia="zh-CN"/>
        </w:rPr>
        <w:t>《关于在政府采购活动中查询及使用信用记录有关问题的通知》(财库[2016]125号)和豫财购【2016】15号的规定，对列入失信被执行人、重大税收违法失信主体、政府采购严重违法失信行为记录名单的</w:t>
      </w:r>
      <w:r>
        <w:rPr>
          <w:rFonts w:hint="eastAsia" w:ascii="宋体" w:hAnsi="宋体" w:cs="宋体"/>
          <w:sz w:val="24"/>
          <w:highlight w:val="none"/>
          <w:lang w:val="en-US" w:eastAsia="zh-CN"/>
        </w:rPr>
        <w:t>供应商</w:t>
      </w:r>
      <w:r>
        <w:rPr>
          <w:rFonts w:hint="eastAsia" w:ascii="宋体" w:hAnsi="宋体" w:eastAsia="宋体" w:cs="宋体"/>
          <w:sz w:val="24"/>
          <w:highlight w:val="none"/>
          <w:lang w:val="en-US" w:eastAsia="zh-CN"/>
        </w:rPr>
        <w:t>，拒绝参与本项目采购活动；查询渠道：①中国执行信息公开网（http://zxgk.court.gov.cn）查询内容：失信被执行人；②“信用中国”网站（https://www.creditchina.gov.cn/zhuanxiangchaxun/），查询内容：重大税收违法失信主体；③中国政府采购网（www.ccgp.gov.cn）查询内容：政府采购严重违法失信行为记录名单。供应商须提供中国执行信息公开网查询页、信用中国查询页、中国政府采购网查询页的查询结果截图，</w:t>
      </w:r>
      <w:r>
        <w:rPr>
          <w:rFonts w:hint="eastAsia" w:ascii="宋体" w:hAnsi="宋体" w:eastAsia="宋体" w:cs="宋体"/>
          <w:b/>
          <w:bCs/>
          <w:sz w:val="24"/>
          <w:highlight w:val="none"/>
          <w:lang w:val="en-US" w:eastAsia="zh-CN"/>
        </w:rPr>
        <w:t>查询日期为本公告发布之日起，网站截图应含有日期且显示查询结果</w:t>
      </w:r>
      <w:r>
        <w:rPr>
          <w:rFonts w:hint="eastAsia" w:ascii="宋体" w:hAnsi="宋体" w:eastAsia="宋体" w:cs="宋体"/>
          <w:b/>
          <w:bCs/>
          <w:color w:val="auto"/>
          <w:sz w:val="24"/>
          <w:highlight w:val="none"/>
          <w:lang w:val="en-US" w:eastAsia="zh-CN"/>
        </w:rPr>
        <w:t>；</w:t>
      </w:r>
    </w:p>
    <w:p w14:paraId="728E131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5.单位负责人为同一人或者存在直接控股、管理关系的不同供应商，不得同时参加本次采购活动，须提供国家企业信用信息公示系统（网址http://www.gsxt.gov.cn/）公示的企业信息网页截图，至少应包含股东信息，查询日期为本公告发布之日起，网站截图应含有日期且显示查询结果；</w:t>
      </w:r>
    </w:p>
    <w:p w14:paraId="18F56299">
      <w:pPr>
        <w:pStyle w:val="21"/>
        <w:ind w:firstLine="480" w:firstLineChars="200"/>
        <w:rPr>
          <w:rFonts w:hint="default"/>
          <w:highlight w:val="none"/>
          <w:lang w:val="en-US"/>
        </w:rPr>
      </w:pPr>
      <w:r>
        <w:rPr>
          <w:rFonts w:hint="eastAsia" w:ascii="宋体" w:hAnsi="宋体" w:eastAsia="宋体" w:cs="宋体"/>
          <w:kern w:val="2"/>
          <w:sz w:val="24"/>
          <w:szCs w:val="22"/>
          <w:highlight w:val="none"/>
          <w:lang w:val="en-US" w:eastAsia="zh-CN" w:bidi="ar-SA"/>
        </w:rPr>
        <w:t>6.</w:t>
      </w:r>
      <w:r>
        <w:rPr>
          <w:rFonts w:hint="eastAsia" w:ascii="宋体" w:hAnsi="宋体" w:eastAsia="宋体" w:cs="宋体"/>
          <w:sz w:val="24"/>
          <w:szCs w:val="24"/>
          <w:highlight w:val="none"/>
        </w:rPr>
        <w:t>本项目不接受联合体磋商</w:t>
      </w:r>
      <w:r>
        <w:rPr>
          <w:rFonts w:hint="eastAsia" w:ascii="宋体" w:hAnsi="宋体" w:eastAsia="宋体" w:cs="宋体"/>
          <w:sz w:val="24"/>
          <w:szCs w:val="24"/>
          <w:highlight w:val="none"/>
          <w:lang w:eastAsia="zh-CN"/>
        </w:rPr>
        <w:t>，</w:t>
      </w:r>
      <w:r>
        <w:rPr>
          <w:rFonts w:hint="eastAsia"/>
          <w:sz w:val="24"/>
          <w:szCs w:val="24"/>
          <w:highlight w:val="none"/>
          <w:lang w:val="en-US" w:eastAsia="zh-CN"/>
        </w:rPr>
        <w:t>供应商须提供非联合体承诺书（承诺书格式自拟）</w:t>
      </w:r>
      <w:r>
        <w:rPr>
          <w:rFonts w:hint="eastAsia" w:ascii="宋体" w:hAnsi="宋体" w:eastAsia="宋体" w:cs="宋体"/>
          <w:kern w:val="2"/>
          <w:sz w:val="24"/>
          <w:szCs w:val="22"/>
          <w:highlight w:val="none"/>
          <w:lang w:val="en-US" w:eastAsia="zh-CN" w:bidi="ar-SA"/>
        </w:rPr>
        <w:t>。</w:t>
      </w:r>
    </w:p>
    <w:bookmarkEnd w:id="10"/>
    <w:bookmarkEnd w:id="11"/>
    <w:bookmarkEnd w:id="12"/>
    <w:bookmarkEnd w:id="13"/>
    <w:p w14:paraId="1B07D94D">
      <w:pPr>
        <w:pageBreakBefore w:val="0"/>
        <w:kinsoku/>
        <w:overflowPunct/>
        <w:topLinePunct w:val="0"/>
        <w:bidi w:val="0"/>
        <w:spacing w:line="360" w:lineRule="auto"/>
        <w:ind w:firstLine="482" w:firstLineChars="200"/>
        <w:jc w:val="left"/>
        <w:outlineLvl w:val="9"/>
        <w:rPr>
          <w:rFonts w:hint="default" w:ascii="宋体" w:hAnsi="宋体" w:eastAsia="宋体" w:cs="宋体"/>
          <w:b/>
          <w:bCs/>
          <w:kern w:val="0"/>
          <w:sz w:val="24"/>
          <w:highlight w:val="none"/>
          <w:shd w:val="clear" w:color="auto" w:fill="FFFFFF" w:themeFill="background1"/>
          <w:lang w:val="en-US" w:eastAsia="zh-CN"/>
        </w:rPr>
      </w:pPr>
      <w:r>
        <w:rPr>
          <w:rFonts w:hint="eastAsia" w:ascii="宋体" w:hAnsi="宋体" w:eastAsia="宋体" w:cs="宋体"/>
          <w:b/>
          <w:bCs/>
          <w:kern w:val="0"/>
          <w:sz w:val="24"/>
          <w:highlight w:val="none"/>
          <w:shd w:val="clear" w:color="auto" w:fill="FFFFFF" w:themeFill="background1"/>
          <w:lang w:val="en-US" w:eastAsia="zh-CN"/>
        </w:rPr>
        <w:t>三标段供应商资格要求：</w:t>
      </w:r>
    </w:p>
    <w:p w14:paraId="4619063C">
      <w:pPr>
        <w:pageBreakBefore w:val="0"/>
        <w:kinsoku/>
        <w:overflowPunct/>
        <w:topLinePunct w:val="0"/>
        <w:bidi w:val="0"/>
        <w:spacing w:line="360" w:lineRule="auto"/>
        <w:ind w:firstLine="480" w:firstLineChars="200"/>
        <w:jc w:val="left"/>
        <w:outlineLvl w:val="9"/>
        <w:rPr>
          <w:rFonts w:hint="eastAsia" w:ascii="宋体" w:hAnsi="宋体" w:eastAsia="宋体" w:cs="宋体"/>
          <w:sz w:val="24"/>
          <w:szCs w:val="24"/>
          <w:highlight w:val="none"/>
          <w:lang w:eastAsia="zh-CN"/>
        </w:rPr>
      </w:pPr>
      <w:r>
        <w:rPr>
          <w:rFonts w:hint="eastAsia" w:ascii="宋体" w:hAnsi="宋体" w:eastAsia="宋体" w:cs="宋体"/>
          <w:kern w:val="0"/>
          <w:sz w:val="24"/>
          <w:highlight w:val="none"/>
          <w:shd w:val="clear" w:color="auto" w:fill="FFFFFF" w:themeFill="background1"/>
          <w:lang w:val="en-US" w:eastAsia="zh-CN"/>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供应商须具备独立法人资格，具有有效的营业执照；</w:t>
      </w:r>
    </w:p>
    <w:p w14:paraId="1347FFDA">
      <w:pPr>
        <w:pageBreakBefore w:val="0"/>
        <w:kinsoku/>
        <w:overflowPunct/>
        <w:topLinePunct w:val="0"/>
        <w:bidi w:val="0"/>
        <w:spacing w:line="360" w:lineRule="auto"/>
        <w:ind w:firstLine="480" w:firstLineChars="200"/>
        <w:jc w:val="left"/>
        <w:outlineLvl w:val="9"/>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供应商须具备建设行政主管部门颁发的建筑工程施工总承包贰级（含贰级）</w:t>
      </w:r>
      <w:r>
        <w:rPr>
          <w:rFonts w:hint="eastAsia" w:ascii="宋体" w:hAnsi="宋体" w:eastAsia="宋体" w:cs="宋体"/>
          <w:sz w:val="24"/>
          <w:szCs w:val="24"/>
          <w:highlight w:val="none"/>
          <w:lang w:val="en-US" w:eastAsia="zh-CN"/>
        </w:rPr>
        <w:t>及</w:t>
      </w:r>
      <w:r>
        <w:rPr>
          <w:rFonts w:hint="eastAsia" w:ascii="宋体" w:hAnsi="宋体" w:eastAsia="宋体" w:cs="宋体"/>
          <w:sz w:val="24"/>
          <w:szCs w:val="24"/>
          <w:highlight w:val="none"/>
          <w:lang w:eastAsia="zh-CN"/>
        </w:rPr>
        <w:t>以上资质，且具有有效的安全生产许可证</w:t>
      </w:r>
      <w:r>
        <w:rPr>
          <w:rFonts w:hint="eastAsia" w:ascii="宋体" w:hAnsi="宋体" w:eastAsia="宋体" w:cs="宋体"/>
          <w:color w:val="auto"/>
          <w:sz w:val="24"/>
          <w:szCs w:val="24"/>
          <w:highlight w:val="none"/>
          <w:lang w:eastAsia="zh-CN"/>
        </w:rPr>
        <w:t>；</w:t>
      </w:r>
    </w:p>
    <w:p w14:paraId="4E510923">
      <w:pPr>
        <w:pageBreakBefore w:val="0"/>
        <w:kinsoku/>
        <w:overflowPunct/>
        <w:topLinePunct w:val="0"/>
        <w:bidi w:val="0"/>
        <w:spacing w:line="360" w:lineRule="auto"/>
        <w:ind w:firstLine="480" w:firstLineChars="200"/>
        <w:jc w:val="left"/>
        <w:outlineLvl w:val="9"/>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highlight w:val="none"/>
        </w:rPr>
        <w:t>拟派项目经理须具备</w:t>
      </w:r>
      <w:r>
        <w:rPr>
          <w:rFonts w:hint="eastAsia" w:ascii="宋体" w:hAnsi="宋体" w:eastAsia="宋体" w:cs="宋体"/>
          <w:color w:val="auto"/>
          <w:sz w:val="24"/>
          <w:highlight w:val="none"/>
          <w:lang w:eastAsia="zh-CN"/>
        </w:rPr>
        <w:t>建筑</w:t>
      </w:r>
      <w:r>
        <w:rPr>
          <w:rFonts w:hint="eastAsia" w:ascii="宋体" w:hAnsi="宋体" w:eastAsia="宋体" w:cs="宋体"/>
          <w:color w:val="auto"/>
          <w:sz w:val="24"/>
          <w:highlight w:val="none"/>
        </w:rPr>
        <w:t>工程专业贰级及以上注册建造师执业资格证书（不含临时），有效的安全生产考核合格证书，为本单位员工，并具有劳动合同及养老保险缴费证明，</w:t>
      </w:r>
      <w:r>
        <w:rPr>
          <w:rFonts w:hint="eastAsia" w:ascii="宋体" w:hAnsi="宋体" w:eastAsia="宋体" w:cs="宋体"/>
          <w:color w:val="auto"/>
          <w:sz w:val="24"/>
          <w:highlight w:val="none"/>
          <w:lang w:eastAsia="zh-CN"/>
        </w:rPr>
        <w:t>出具</w:t>
      </w:r>
      <w:r>
        <w:rPr>
          <w:rFonts w:hint="eastAsia" w:ascii="宋体" w:hAnsi="宋体" w:eastAsia="宋体" w:cs="宋体"/>
          <w:color w:val="auto"/>
          <w:sz w:val="24"/>
          <w:highlight w:val="none"/>
        </w:rPr>
        <w:t>无在建工程承诺书</w:t>
      </w:r>
      <w:r>
        <w:rPr>
          <w:rFonts w:hint="eastAsia" w:ascii="宋体" w:hAnsi="宋体" w:eastAsia="宋体" w:cs="宋体"/>
          <w:sz w:val="24"/>
          <w:szCs w:val="24"/>
          <w:highlight w:val="none"/>
          <w:lang w:val="en-US" w:eastAsia="zh-CN"/>
        </w:rPr>
        <w:t>；</w:t>
      </w:r>
    </w:p>
    <w:p w14:paraId="4C309869">
      <w:pPr>
        <w:pageBreakBefore w:val="0"/>
        <w:kinsoku/>
        <w:overflowPunct/>
        <w:topLinePunct w:val="0"/>
        <w:bidi w:val="0"/>
        <w:spacing w:line="360" w:lineRule="auto"/>
        <w:ind w:firstLine="480" w:firstLineChars="200"/>
        <w:jc w:val="left"/>
        <w:outlineLvl w:val="9"/>
        <w:rPr>
          <w:rFonts w:hint="eastAsia" w:ascii="宋体" w:hAnsi="宋体" w:eastAsia="宋体" w:cs="宋体"/>
          <w:sz w:val="24"/>
          <w:szCs w:val="24"/>
          <w:highlight w:val="none"/>
          <w:lang w:eastAsia="zh-CN"/>
        </w:rPr>
      </w:pPr>
      <w:bookmarkStart w:id="14" w:name="_Toc19362"/>
      <w:bookmarkStart w:id="15" w:name="_Toc25787"/>
      <w:bookmarkStart w:id="16" w:name="_Toc26141"/>
      <w:bookmarkStart w:id="17" w:name="_Toc528051177"/>
      <w:bookmarkStart w:id="18" w:name="_Toc31847"/>
      <w:bookmarkStart w:id="19" w:name="_Toc18362"/>
      <w:bookmarkStart w:id="20" w:name="_Toc528057042"/>
      <w:bookmarkStart w:id="21" w:name="_Toc2303"/>
      <w:bookmarkStart w:id="22" w:name="_Toc21850"/>
      <w:bookmarkStart w:id="23" w:name="_Toc27709"/>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供应商须自行出具本单位无商业贿赂及无不正当竞争行为的承诺书</w:t>
      </w:r>
      <w:r>
        <w:rPr>
          <w:rFonts w:hint="eastAsia"/>
          <w:sz w:val="24"/>
          <w:szCs w:val="24"/>
          <w:highlight w:val="none"/>
          <w:lang w:val="en-US" w:eastAsia="zh-CN"/>
        </w:rPr>
        <w:t>（承诺书格式自拟）</w:t>
      </w:r>
      <w:r>
        <w:rPr>
          <w:rFonts w:hint="eastAsia" w:ascii="宋体" w:hAnsi="宋体" w:eastAsia="宋体" w:cs="宋体"/>
          <w:sz w:val="24"/>
          <w:szCs w:val="24"/>
          <w:highlight w:val="none"/>
          <w:lang w:eastAsia="zh-CN"/>
        </w:rPr>
        <w:t>；</w:t>
      </w:r>
      <w:bookmarkEnd w:id="14"/>
      <w:bookmarkEnd w:id="15"/>
      <w:bookmarkEnd w:id="16"/>
      <w:bookmarkEnd w:id="17"/>
      <w:bookmarkEnd w:id="18"/>
      <w:bookmarkEnd w:id="19"/>
      <w:bookmarkEnd w:id="20"/>
      <w:bookmarkEnd w:id="21"/>
      <w:bookmarkEnd w:id="22"/>
      <w:bookmarkEnd w:id="23"/>
    </w:p>
    <w:p w14:paraId="01838F77">
      <w:pPr>
        <w:pageBreakBefore w:val="0"/>
        <w:kinsoku/>
        <w:overflowPunct/>
        <w:topLinePunct w:val="0"/>
        <w:bidi w:val="0"/>
        <w:spacing w:line="360" w:lineRule="auto"/>
        <w:ind w:firstLine="480" w:firstLineChars="200"/>
        <w:jc w:val="left"/>
        <w:outlineLvl w:val="9"/>
        <w:rPr>
          <w:rFonts w:ascii="宋体" w:hAnsi="宋体" w:cs="宋体"/>
          <w:sz w:val="24"/>
          <w:szCs w:val="22"/>
          <w:highlight w:val="none"/>
        </w:rPr>
      </w:pPr>
      <w:r>
        <w:rPr>
          <w:rFonts w:hint="eastAsia" w:ascii="宋体" w:hAnsi="宋体" w:eastAsia="宋体" w:cs="宋体"/>
          <w:sz w:val="24"/>
          <w:szCs w:val="24"/>
          <w:highlight w:val="none"/>
          <w:lang w:val="en-US" w:eastAsia="zh-CN"/>
        </w:rPr>
        <w:t>5.根据</w:t>
      </w:r>
      <w:r>
        <w:rPr>
          <w:rFonts w:hint="eastAsia" w:ascii="宋体" w:hAnsi="宋体" w:eastAsia="宋体" w:cs="宋体"/>
          <w:sz w:val="24"/>
          <w:highlight w:val="none"/>
          <w:lang w:val="en-US" w:eastAsia="zh-CN"/>
        </w:rPr>
        <w:t>《关于在政府采购活动中查询及使用信用记录有关问题的通知》(财库[2016]125号)和豫财购【2016】15号的规定，对列入失信被执行人、重大税收违法失信主体、政府采购严重违法失信行为记录名单的</w:t>
      </w:r>
      <w:r>
        <w:rPr>
          <w:rFonts w:hint="eastAsia" w:ascii="宋体" w:hAnsi="宋体" w:cs="宋体"/>
          <w:sz w:val="24"/>
          <w:highlight w:val="none"/>
          <w:lang w:val="en-US" w:eastAsia="zh-CN"/>
        </w:rPr>
        <w:t>供应商</w:t>
      </w:r>
      <w:r>
        <w:rPr>
          <w:rFonts w:hint="eastAsia" w:ascii="宋体" w:hAnsi="宋体" w:eastAsia="宋体" w:cs="宋体"/>
          <w:sz w:val="24"/>
          <w:highlight w:val="none"/>
          <w:lang w:val="en-US" w:eastAsia="zh-CN"/>
        </w:rPr>
        <w:t>，拒绝参与本项目采购活动；查询渠道：①中国执行信息公开网（http://zxgk.court.gov.cn）查询内容：失信被执行人；②“信用中国”网站（https://www.creditchina.gov.cn/zhuanxiangchaxun/），查询内容：重大税收违法失信主体；③中国政府采购网（www.ccgp.gov.cn）查询内容：政府采购严重违法失信行为记录名单。供应商须提供中国执行信息公开网查询页、信用中国查询页、中国政府采购网查询页的查询结果截图，</w:t>
      </w:r>
      <w:r>
        <w:rPr>
          <w:rFonts w:hint="eastAsia" w:ascii="宋体" w:hAnsi="宋体" w:eastAsia="宋体" w:cs="宋体"/>
          <w:b/>
          <w:bCs/>
          <w:sz w:val="24"/>
          <w:highlight w:val="none"/>
          <w:lang w:val="en-US" w:eastAsia="zh-CN"/>
        </w:rPr>
        <w:t>查询日期为本公告发布之日起，网站截图应含有日期且显示查询结果</w:t>
      </w:r>
      <w:r>
        <w:rPr>
          <w:rFonts w:hint="eastAsia" w:ascii="宋体" w:hAnsi="宋体" w:eastAsia="宋体" w:cs="宋体"/>
          <w:b/>
          <w:bCs/>
          <w:color w:val="auto"/>
          <w:sz w:val="24"/>
          <w:highlight w:val="none"/>
          <w:lang w:val="en-US" w:eastAsia="zh-CN"/>
        </w:rPr>
        <w:t>；</w:t>
      </w:r>
    </w:p>
    <w:p w14:paraId="6919C653">
      <w:pPr>
        <w:pageBreakBefore w:val="0"/>
        <w:kinsoku/>
        <w:overflowPunct/>
        <w:topLinePunct w:val="0"/>
        <w:bidi w:val="0"/>
        <w:spacing w:line="360" w:lineRule="auto"/>
        <w:ind w:firstLine="480" w:firstLineChars="200"/>
        <w:jc w:val="left"/>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r>
        <w:rPr>
          <w:rFonts w:hint="eastAsia" w:ascii="宋体" w:hAnsi="宋体" w:cs="宋体"/>
          <w:sz w:val="24"/>
          <w:highlight w:val="none"/>
        </w:rPr>
        <w:t>单位负责人为同一人或者存在直接控股、管理关系的不同</w:t>
      </w:r>
      <w:r>
        <w:rPr>
          <w:rFonts w:hint="eastAsia" w:ascii="宋体" w:hAnsi="宋体" w:cs="宋体"/>
          <w:sz w:val="24"/>
          <w:highlight w:val="none"/>
          <w:lang w:eastAsia="zh-CN"/>
        </w:rPr>
        <w:t>供应商</w:t>
      </w:r>
      <w:r>
        <w:rPr>
          <w:rFonts w:hint="eastAsia" w:ascii="宋体" w:hAnsi="宋体" w:cs="宋体"/>
          <w:sz w:val="24"/>
          <w:highlight w:val="none"/>
        </w:rPr>
        <w:t>，不得同时参加本次</w:t>
      </w:r>
      <w:r>
        <w:rPr>
          <w:rFonts w:hint="eastAsia" w:ascii="宋体" w:hAnsi="宋体" w:cs="宋体"/>
          <w:sz w:val="24"/>
          <w:highlight w:val="none"/>
          <w:lang w:eastAsia="zh-CN"/>
        </w:rPr>
        <w:t>采购</w:t>
      </w:r>
      <w:r>
        <w:rPr>
          <w:rFonts w:hint="eastAsia" w:ascii="宋体" w:hAnsi="宋体" w:cs="宋体"/>
          <w:sz w:val="24"/>
          <w:highlight w:val="none"/>
        </w:rPr>
        <w:t>活动，须提供国家企业信用信息公示系统（网址http://www.gsxt.gov.cn/）公示的企业信息网页截图，至少应包含股东信息，</w:t>
      </w:r>
      <w:r>
        <w:rPr>
          <w:rFonts w:hint="eastAsia" w:ascii="宋体" w:hAnsi="宋体" w:cs="宋体"/>
          <w:b/>
          <w:bCs/>
          <w:sz w:val="24"/>
          <w:highlight w:val="none"/>
        </w:rPr>
        <w:t>查询日期为本公告发布之日起，网站截图应含有日期且显示查询结果；</w:t>
      </w:r>
    </w:p>
    <w:p w14:paraId="5DCBC75E">
      <w:pPr>
        <w:pageBreakBefore w:val="0"/>
        <w:kinsoku/>
        <w:overflowPunct/>
        <w:topLinePunct w:val="0"/>
        <w:bidi w:val="0"/>
        <w:spacing w:line="360" w:lineRule="auto"/>
        <w:ind w:firstLine="480" w:firstLineChars="200"/>
        <w:jc w:val="left"/>
        <w:outlineLvl w:val="9"/>
        <w:rPr>
          <w:rFonts w:hint="eastAsia"/>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本项目不接受联合体磋商</w:t>
      </w:r>
      <w:r>
        <w:rPr>
          <w:rFonts w:hint="eastAsia" w:ascii="宋体" w:hAnsi="宋体" w:eastAsia="宋体" w:cs="宋体"/>
          <w:sz w:val="24"/>
          <w:szCs w:val="24"/>
          <w:highlight w:val="none"/>
          <w:lang w:eastAsia="zh-CN"/>
        </w:rPr>
        <w:t>，</w:t>
      </w:r>
      <w:r>
        <w:rPr>
          <w:rFonts w:hint="eastAsia"/>
          <w:sz w:val="24"/>
          <w:szCs w:val="24"/>
          <w:highlight w:val="none"/>
          <w:lang w:val="en-US" w:eastAsia="zh-CN"/>
        </w:rPr>
        <w:t>供应商须提供非联合体承诺书（承诺书格式自拟）。</w:t>
      </w:r>
    </w:p>
    <w:p w14:paraId="76F0F448">
      <w:pPr>
        <w:pageBreakBefore w:val="0"/>
        <w:widowControl/>
        <w:kinsoku/>
        <w:overflowPunct/>
        <w:topLinePunct w:val="0"/>
        <w:bidi w:val="0"/>
        <w:spacing w:line="480" w:lineRule="exact"/>
        <w:ind w:right="-57" w:rightChars="-27" w:firstLine="482" w:firstLineChars="200"/>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三、竞争性磋商文件获取方式 </w:t>
      </w:r>
    </w:p>
    <w:p w14:paraId="50750D2F">
      <w:pPr>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1.时间：202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日至</w:t>
      </w:r>
      <w:r>
        <w:rPr>
          <w:rFonts w:hint="eastAsia" w:ascii="宋体" w:hAnsi="宋体" w:cs="宋体"/>
          <w:color w:val="auto"/>
          <w:sz w:val="24"/>
          <w:szCs w:val="24"/>
          <w:highlight w:val="none"/>
          <w:lang w:val="en-US" w:eastAsia="zh-CN"/>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17</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08</w:t>
      </w:r>
      <w:r>
        <w:rPr>
          <w:rFonts w:hint="eastAsia" w:ascii="宋体" w:hAnsi="宋体" w:cs="宋体"/>
          <w:color w:val="auto"/>
          <w:sz w:val="24"/>
          <w:szCs w:val="24"/>
          <w:highlight w:val="none"/>
        </w:rPr>
        <w:t>时</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分；</w:t>
      </w:r>
    </w:p>
    <w:p w14:paraId="43223631">
      <w:pPr>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2.地点：三门峡市公共资源交易中心；</w:t>
      </w:r>
    </w:p>
    <w:p w14:paraId="381D9791">
      <w:pPr>
        <w:keepNext w:val="0"/>
        <w:keepLines w:val="0"/>
        <w:pageBreakBefore w:val="0"/>
        <w:kinsoku/>
        <w:wordWrap w:val="0"/>
        <w:overflowPunct/>
        <w:topLinePunct w:val="0"/>
        <w:autoSpaceDE/>
        <w:autoSpaceDN/>
        <w:bidi w:val="0"/>
        <w:adjustRightInd/>
        <w:snapToGrid/>
        <w:spacing w:line="360" w:lineRule="auto"/>
        <w:ind w:firstLine="484" w:firstLineChars="20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3.方式：响应人凭CA数字证书通过三门峡市公共资源交易中心网（网址：</w:t>
      </w:r>
      <w:r>
        <w:rPr>
          <w:rFonts w:hint="eastAsia" w:ascii="宋体" w:hAnsi="宋体" w:eastAsia="宋体" w:cs="宋体"/>
          <w:color w:val="auto"/>
          <w:sz w:val="24"/>
          <w:szCs w:val="24"/>
          <w:highlight w:val="none"/>
        </w:rPr>
        <w:t>gzjy.smx.gov.cn</w:t>
      </w:r>
      <w:r>
        <w:rPr>
          <w:rFonts w:hint="eastAsia" w:ascii="宋体" w:hAnsi="宋体" w:cs="宋体"/>
          <w:color w:val="auto"/>
          <w:sz w:val="24"/>
          <w:szCs w:val="24"/>
          <w:highlight w:val="none"/>
        </w:rPr>
        <w:t>），点击交易平台选择“</w:t>
      </w:r>
      <w:r>
        <w:rPr>
          <w:rFonts w:hint="eastAsia" w:ascii="宋体" w:hAnsi="宋体" w:cs="宋体"/>
          <w:color w:val="auto"/>
          <w:sz w:val="24"/>
          <w:szCs w:val="24"/>
          <w:highlight w:val="none"/>
          <w:lang w:eastAsia="zh-CN"/>
        </w:rPr>
        <w:t>交易主体登录</w:t>
      </w:r>
      <w:r>
        <w:rPr>
          <w:rFonts w:hint="eastAsia" w:ascii="宋体" w:hAnsi="宋体" w:cs="宋体"/>
          <w:color w:val="auto"/>
          <w:sz w:val="24"/>
          <w:szCs w:val="24"/>
          <w:highlight w:val="none"/>
        </w:rPr>
        <w:t>”，在所参与项目右侧点击参与投标，即可直接下载本项目竞争性磋商文件。</w:t>
      </w:r>
    </w:p>
    <w:p w14:paraId="2C5FCCA6">
      <w:pPr>
        <w:keepNext w:val="0"/>
        <w:keepLines w:val="0"/>
        <w:pageBreakBefore w:val="0"/>
        <w:kinsoku/>
        <w:wordWrap w:val="0"/>
        <w:overflowPunct/>
        <w:topLinePunct w:val="0"/>
        <w:autoSpaceDE/>
        <w:autoSpaceDN/>
        <w:bidi w:val="0"/>
        <w:adjustRightInd/>
        <w:snapToGrid/>
        <w:spacing w:line="360" w:lineRule="auto"/>
        <w:ind w:firstLine="484" w:firstLineChars="20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办理CA证书链接：</w:t>
      </w:r>
      <w:r>
        <w:rPr>
          <w:rFonts w:hint="eastAsia" w:ascii="宋体" w:hAnsi="宋体" w:cs="宋体"/>
          <w:color w:val="auto"/>
          <w:sz w:val="24"/>
          <w:szCs w:val="24"/>
          <w:highlight w:val="none"/>
          <w:lang w:val="en-US" w:eastAsia="zh-CN"/>
        </w:rPr>
        <w:t>http://gzjy.smx.gov.cn/bzzx/008001/20231102/4defc9b5-408e-47f2-9e9f-1f376a06ee1f.html</w:t>
      </w:r>
    </w:p>
    <w:p w14:paraId="11E2409F">
      <w:pPr>
        <w:spacing w:line="360" w:lineRule="auto"/>
        <w:ind w:firstLine="487" w:firstLineChars="202"/>
        <w:rPr>
          <w:rFonts w:hint="eastAsia" w:ascii="宋体" w:hAnsi="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rPr>
        <w:t>四</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sz w:val="24"/>
          <w:szCs w:val="24"/>
          <w:highlight w:val="none"/>
          <w:lang w:eastAsia="zh-CN"/>
        </w:rPr>
        <w:t>响应文件提交</w:t>
      </w:r>
      <w:r>
        <w:rPr>
          <w:rFonts w:hint="eastAsia" w:ascii="宋体" w:hAnsi="宋体" w:cs="宋体"/>
          <w:b/>
          <w:bCs/>
          <w:color w:val="auto"/>
          <w:sz w:val="24"/>
          <w:szCs w:val="24"/>
          <w:highlight w:val="none"/>
        </w:rPr>
        <w:t>截止时间及地点</w:t>
      </w:r>
    </w:p>
    <w:p w14:paraId="14B4F7B8">
      <w:pPr>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1.时间：</w:t>
      </w:r>
      <w:r>
        <w:rPr>
          <w:rFonts w:hint="eastAsia" w:ascii="宋体" w:hAnsi="宋体" w:cs="宋体"/>
          <w:color w:val="auto"/>
          <w:sz w:val="24"/>
          <w:szCs w:val="24"/>
          <w:highlight w:val="none"/>
          <w:lang w:val="en-US" w:eastAsia="zh-CN"/>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09</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17</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08</w:t>
      </w:r>
      <w:r>
        <w:rPr>
          <w:rFonts w:hint="eastAsia" w:ascii="宋体" w:hAnsi="宋体" w:cs="宋体"/>
          <w:color w:val="auto"/>
          <w:sz w:val="24"/>
          <w:szCs w:val="24"/>
          <w:highlight w:val="none"/>
        </w:rPr>
        <w:t>时</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eastAsia="zh-CN"/>
        </w:rPr>
        <w:t>（北京时间）</w:t>
      </w:r>
      <w:r>
        <w:rPr>
          <w:rFonts w:hint="eastAsia" w:ascii="宋体" w:hAnsi="宋体" w:cs="宋体"/>
          <w:color w:val="auto"/>
          <w:sz w:val="24"/>
          <w:szCs w:val="24"/>
          <w:highlight w:val="none"/>
        </w:rPr>
        <w:t>；</w:t>
      </w:r>
    </w:p>
    <w:p w14:paraId="11F1913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2.地点：加密电子竞争性磋商响应文件须在磋商截止时间前通过三门峡市公共资源交易中心电子交易平台加密上传；</w:t>
      </w:r>
    </w:p>
    <w:p w14:paraId="66B79AA4">
      <w:pPr>
        <w:spacing w:line="360" w:lineRule="auto"/>
        <w:ind w:firstLine="480" w:firstLineChars="200"/>
        <w:rPr>
          <w:rFonts w:hint="eastAsia" w:ascii="宋体" w:hAnsi="宋体" w:cs="宋体" w:eastAsiaTheme="minorEastAsia"/>
          <w:color w:val="auto"/>
          <w:kern w:val="0"/>
          <w:sz w:val="24"/>
          <w:szCs w:val="24"/>
          <w:highlight w:val="none"/>
          <w:lang w:eastAsia="zh-CN"/>
        </w:rPr>
      </w:pPr>
      <w:r>
        <w:rPr>
          <w:rFonts w:hint="eastAsia" w:ascii="宋体" w:hAnsi="宋体" w:cs="宋体"/>
          <w:color w:val="auto"/>
          <w:sz w:val="24"/>
          <w:szCs w:val="24"/>
          <w:highlight w:val="none"/>
        </w:rPr>
        <w:t>注：本项目为不见面开标项目，开标当日，</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无需到开标现场参加开标会议，</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应当在投标截止时间前，登陆不见面开标大厅 （http://120.194.249.36:10094/BidOpening/bidopeninghallaction/hall/login）选择登陆三门峡市公共资源电子招投标系统进行登陆,在线准时参加开标活动并进行投标（响应）文件解密等。每位</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的解密时间为开标时间起30分钟内完成</w:t>
      </w:r>
      <w:r>
        <w:rPr>
          <w:rFonts w:hint="eastAsia" w:ascii="宋体" w:hAnsi="宋体" w:cs="宋体"/>
          <w:color w:val="auto"/>
          <w:sz w:val="24"/>
          <w:szCs w:val="24"/>
          <w:highlight w:val="none"/>
          <w:lang w:eastAsia="zh-CN"/>
        </w:rPr>
        <w:t>，因投标人原因未能解密、解密失败或解密超时的将被拒绝。</w:t>
      </w:r>
    </w:p>
    <w:p w14:paraId="0183E9AE">
      <w:pPr>
        <w:pageBreakBefore w:val="0"/>
        <w:widowControl/>
        <w:kinsoku/>
        <w:overflowPunct/>
        <w:topLinePunct w:val="0"/>
        <w:bidi w:val="0"/>
        <w:spacing w:line="480" w:lineRule="exact"/>
        <w:ind w:right="-57" w:rightChars="-27" w:firstLine="482" w:firstLineChars="200"/>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、磋商时间和地点</w:t>
      </w:r>
    </w:p>
    <w:p w14:paraId="6B57C1FD">
      <w:pPr>
        <w:pageBreakBefore w:val="0"/>
        <w:widowControl/>
        <w:kinsoku/>
        <w:overflowPunct/>
        <w:topLinePunct w:val="0"/>
        <w:bidi w:val="0"/>
        <w:spacing w:line="480" w:lineRule="exact"/>
        <w:ind w:right="-57" w:rightChars="-27"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磋商时间：</w:t>
      </w:r>
      <w:r>
        <w:rPr>
          <w:rFonts w:hint="eastAsia" w:ascii="宋体" w:hAnsi="宋体" w:eastAsia="宋体" w:cs="宋体"/>
          <w:color w:val="auto"/>
          <w:kern w:val="0"/>
          <w:sz w:val="24"/>
          <w:szCs w:val="24"/>
          <w:highlight w:val="none"/>
          <w:lang w:val="en-US" w:eastAsia="zh-CN"/>
        </w:rPr>
        <w:t>2025</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09</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val="en-US" w:eastAsia="zh-CN"/>
        </w:rPr>
        <w:t>08</w:t>
      </w:r>
      <w:r>
        <w:rPr>
          <w:rFonts w:hint="eastAsia" w:ascii="宋体" w:hAnsi="宋体" w:eastAsia="宋体" w:cs="宋体"/>
          <w:color w:val="auto"/>
          <w:kern w:val="0"/>
          <w:sz w:val="24"/>
          <w:szCs w:val="24"/>
          <w:highlight w:val="none"/>
        </w:rPr>
        <w:t>时</w:t>
      </w: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分；</w:t>
      </w:r>
    </w:p>
    <w:p w14:paraId="4C5F8E5A">
      <w:pPr>
        <w:pageBreakBefore w:val="0"/>
        <w:widowControl/>
        <w:kinsoku/>
        <w:overflowPunct/>
        <w:topLinePunct w:val="0"/>
        <w:bidi w:val="0"/>
        <w:spacing w:line="480" w:lineRule="exact"/>
        <w:ind w:right="-57" w:rightChars="-27"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磋商地点：三门峡市公共资源交易中心</w:t>
      </w:r>
      <w:r>
        <w:rPr>
          <w:rFonts w:hint="eastAsia" w:ascii="宋体" w:hAnsi="宋体" w:eastAsia="宋体" w:cs="宋体"/>
          <w:color w:val="auto"/>
          <w:kern w:val="0"/>
          <w:sz w:val="24"/>
          <w:szCs w:val="24"/>
          <w:highlight w:val="none"/>
          <w:lang w:eastAsia="zh-CN"/>
        </w:rPr>
        <w:t>五楼</w:t>
      </w:r>
      <w:r>
        <w:rPr>
          <w:rFonts w:hint="eastAsia" w:ascii="宋体" w:hAnsi="宋体" w:eastAsia="宋体" w:cs="宋体"/>
          <w:color w:val="auto"/>
          <w:kern w:val="0"/>
          <w:sz w:val="24"/>
          <w:szCs w:val="24"/>
          <w:highlight w:val="none"/>
        </w:rPr>
        <w:t>开标区。</w:t>
      </w:r>
    </w:p>
    <w:p w14:paraId="50696989">
      <w:pPr>
        <w:pageBreakBefore w:val="0"/>
        <w:widowControl/>
        <w:kinsoku/>
        <w:overflowPunct/>
        <w:topLinePunct w:val="0"/>
        <w:bidi w:val="0"/>
        <w:spacing w:line="480" w:lineRule="exact"/>
        <w:ind w:right="-57" w:rightChars="-27" w:firstLine="482" w:firstLineChars="200"/>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sz w:val="24"/>
          <w:szCs w:val="24"/>
          <w:highlight w:val="none"/>
        </w:rPr>
        <w:t>发布公告的媒介</w:t>
      </w:r>
    </w:p>
    <w:p w14:paraId="026F365A">
      <w:pPr>
        <w:keepNext w:val="0"/>
        <w:keepLines w:val="0"/>
        <w:pageBreakBefore w:val="0"/>
        <w:widowControl w:val="0"/>
        <w:kinsoku/>
        <w:wordWrap/>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本次竞争性磋商公告同时在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河南省政府采购网》、</w:t>
      </w:r>
      <w:r>
        <w:rPr>
          <w:rFonts w:hint="eastAsia" w:ascii="宋体" w:hAnsi="宋体" w:cs="宋体"/>
          <w:color w:val="auto"/>
          <w:sz w:val="24"/>
          <w:highlight w:val="none"/>
          <w:lang w:bidi="ar"/>
        </w:rPr>
        <w:t>《中国采购与招标网》</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bidi="ar"/>
        </w:rPr>
        <w:t>《</w:t>
      </w:r>
      <w:r>
        <w:rPr>
          <w:rFonts w:hint="eastAsia" w:ascii="宋体" w:hAnsi="宋体" w:cs="宋体"/>
          <w:color w:val="auto"/>
          <w:sz w:val="24"/>
          <w:highlight w:val="none"/>
          <w:lang w:eastAsia="zh-CN" w:bidi="ar"/>
        </w:rPr>
        <w:t>中国</w:t>
      </w:r>
      <w:r>
        <w:rPr>
          <w:rFonts w:hint="eastAsia" w:ascii="宋体" w:hAnsi="宋体" w:cs="宋体"/>
          <w:color w:val="auto"/>
          <w:sz w:val="24"/>
          <w:highlight w:val="none"/>
          <w:lang w:bidi="ar"/>
        </w:rPr>
        <w:t>招标投标公共服务平台》</w:t>
      </w:r>
      <w:r>
        <w:rPr>
          <w:rFonts w:hint="eastAsia" w:ascii="宋体" w:hAnsi="宋体" w:cs="宋体"/>
          <w:color w:val="auto"/>
          <w:sz w:val="24"/>
          <w:highlight w:val="none"/>
          <w:lang w:val="en-US" w:eastAsia="zh-CN" w:bidi="ar"/>
        </w:rPr>
        <w:t>、</w:t>
      </w:r>
      <w:r>
        <w:rPr>
          <w:rFonts w:hint="eastAsia" w:ascii="宋体" w:hAnsi="宋体" w:cs="宋体"/>
          <w:color w:val="auto"/>
          <w:sz w:val="24"/>
          <w:highlight w:val="none"/>
          <w:lang w:bidi="ar"/>
        </w:rPr>
        <w:t>《三门峡市公共资源交易中心</w:t>
      </w:r>
      <w:r>
        <w:rPr>
          <w:rFonts w:hint="eastAsia" w:ascii="宋体" w:hAnsi="宋体" w:cs="宋体"/>
          <w:color w:val="auto"/>
          <w:sz w:val="24"/>
          <w:highlight w:val="none"/>
          <w:lang w:val="en-US" w:eastAsia="zh-CN" w:bidi="ar"/>
        </w:rPr>
        <w:t>网</w:t>
      </w:r>
      <w:r>
        <w:rPr>
          <w:rFonts w:hint="eastAsia" w:ascii="宋体" w:hAnsi="宋体" w:cs="宋体"/>
          <w:color w:val="auto"/>
          <w:sz w:val="24"/>
          <w:highlight w:val="none"/>
          <w:lang w:bidi="ar"/>
        </w:rPr>
        <w:t>》</w:t>
      </w:r>
      <w:r>
        <w:rPr>
          <w:rFonts w:hint="eastAsia" w:ascii="宋体" w:hAnsi="宋体" w:cs="宋体"/>
          <w:color w:val="auto"/>
          <w:sz w:val="24"/>
          <w:highlight w:val="none"/>
          <w:lang w:val="en-US" w:eastAsia="zh-CN" w:bidi="ar"/>
        </w:rPr>
        <w:t>和</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bidi="ar"/>
        </w:rPr>
        <w:t>三门峡市文博城事务中心</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等网站</w:t>
      </w:r>
      <w:r>
        <w:rPr>
          <w:rFonts w:hint="eastAsia" w:ascii="宋体" w:hAnsi="宋体" w:eastAsia="宋体" w:cs="宋体"/>
          <w:color w:val="auto"/>
          <w:kern w:val="0"/>
          <w:sz w:val="24"/>
          <w:szCs w:val="24"/>
          <w:highlight w:val="none"/>
        </w:rPr>
        <w:t>上发布。</w:t>
      </w:r>
    </w:p>
    <w:p w14:paraId="1C3286EF">
      <w:pPr>
        <w:pageBreakBefore w:val="0"/>
        <w:widowControl/>
        <w:kinsoku/>
        <w:overflowPunct/>
        <w:topLinePunct w:val="0"/>
        <w:bidi w:val="0"/>
        <w:spacing w:line="480" w:lineRule="exact"/>
        <w:ind w:right="-57" w:rightChars="-27" w:firstLine="482" w:firstLineChars="200"/>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七</w:t>
      </w:r>
      <w:r>
        <w:rPr>
          <w:rFonts w:hint="eastAsia" w:ascii="宋体" w:hAnsi="宋体" w:eastAsia="宋体" w:cs="宋体"/>
          <w:b/>
          <w:bCs/>
          <w:color w:val="auto"/>
          <w:kern w:val="0"/>
          <w:sz w:val="24"/>
          <w:szCs w:val="24"/>
          <w:highlight w:val="none"/>
        </w:rPr>
        <w:t>、</w:t>
      </w:r>
      <w:r>
        <w:rPr>
          <w:rFonts w:hint="eastAsia" w:ascii="宋体" w:hAnsi="宋体" w:cs="宋体"/>
          <w:b/>
          <w:bCs/>
          <w:color w:val="auto"/>
          <w:sz w:val="24"/>
          <w:szCs w:val="24"/>
          <w:highlight w:val="none"/>
        </w:rPr>
        <w:t>其他补充事宜</w:t>
      </w:r>
    </w:p>
    <w:p w14:paraId="39571187">
      <w:pPr>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1.按照《河南省财政厅关于优化政府采购营商环境有关问题的通知》（豫财购[2019]4号文）的要求本项目不再收取磋商保证金。</w:t>
      </w:r>
    </w:p>
    <w:p w14:paraId="049D0C63">
      <w:pPr>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.以投标文件业绩信息为准，可使用电子营业执照。</w:t>
      </w:r>
    </w:p>
    <w:p w14:paraId="27DC9BCB">
      <w:pPr>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.本项目实行资格后审，根据优化营商环境的要求，评标时审查内容以投标（响应）文件为准：</w:t>
      </w:r>
    </w:p>
    <w:p w14:paraId="0DB8FEA6">
      <w:pPr>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（1）资格评（预）审部分：资格评（预）</w:t>
      </w:r>
      <w:r>
        <w:rPr>
          <w:rFonts w:hint="eastAsia" w:ascii="宋体" w:hAnsi="宋体" w:cs="宋体"/>
          <w:color w:val="auto"/>
          <w:sz w:val="24"/>
          <w:szCs w:val="24"/>
          <w:highlight w:val="none"/>
          <w:lang w:eastAsia="zh-CN"/>
        </w:rPr>
        <w:t>审</w:t>
      </w:r>
      <w:r>
        <w:rPr>
          <w:rFonts w:hint="eastAsia" w:ascii="宋体" w:hAnsi="宋体" w:cs="宋体"/>
          <w:color w:val="auto"/>
          <w:sz w:val="24"/>
          <w:szCs w:val="24"/>
          <w:highlight w:val="none"/>
        </w:rPr>
        <w:t>以投标（响应）文件为准，其上传资料真实性由供应商自行承担，同时，供应商要完善主体库。</w:t>
      </w:r>
    </w:p>
    <w:p w14:paraId="7FB8FDB0">
      <w:pPr>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（2）评标打分部分：评标打分部分仍按照100分制原则进行，涉及到资格审查、企业荣誉、人员业绩、企业业绩等计分部分时，以供应商自行上传到投标（响应）文件中的相应内容为准。</w:t>
      </w:r>
    </w:p>
    <w:p w14:paraId="2E3FF6E5">
      <w:pPr>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（3）响应文件编制部分：在</w:t>
      </w:r>
      <w:r>
        <w:rPr>
          <w:rFonts w:hint="eastAsia" w:ascii="宋体" w:hAnsi="宋体" w:cs="宋体"/>
          <w:color w:val="auto"/>
          <w:sz w:val="24"/>
          <w:szCs w:val="24"/>
          <w:highlight w:val="none"/>
          <w:lang w:eastAsia="zh-CN"/>
        </w:rPr>
        <w:t>竞争性磋商文件</w:t>
      </w:r>
      <w:r>
        <w:rPr>
          <w:rFonts w:hint="eastAsia" w:ascii="宋体" w:hAnsi="宋体" w:cs="宋体"/>
          <w:color w:val="auto"/>
          <w:sz w:val="24"/>
          <w:szCs w:val="24"/>
          <w:highlight w:val="none"/>
        </w:rPr>
        <w:t xml:space="preserve">中要求供应商按照投标（响应）文件格式进行投标文件编制，在投标文件编制时，应明确将投标单位企业基本情况、资质情况、人员情况、财务情况、业绩情况编入投标文件，便于进行资格审查及评标打分以投标文件业绩信息为准，可使用电子营业执照。 </w:t>
      </w:r>
    </w:p>
    <w:p w14:paraId="24A50C51">
      <w:pPr>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.供应商递交的资料和投标（响应）文件不论</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与否均不予退还；</w:t>
      </w:r>
    </w:p>
    <w:p w14:paraId="6591510A">
      <w:pPr>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.采购人不组织供应商踏勘现场。</w:t>
      </w:r>
    </w:p>
    <w:p w14:paraId="68F65378">
      <w:pPr>
        <w:spacing w:line="360" w:lineRule="auto"/>
        <w:ind w:firstLine="484" w:firstLineChars="202"/>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lang w:val="en-US" w:eastAsia="zh-CN"/>
        </w:rPr>
        <w:t>6.本项目共划分3个标段，潜在供应商可根据自身情况选择参与1至3个标段的投标，且允许同时兼中3个标段。</w:t>
      </w:r>
    </w:p>
    <w:p w14:paraId="09952BB8">
      <w:pPr>
        <w:spacing w:line="360" w:lineRule="auto"/>
        <w:ind w:firstLine="484" w:firstLineChars="202"/>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rPr>
        <w:t>温馨提示：本项目为电子化、无纸化交易项目，开标时不再接受任何纸质资料，为保证您能投标成功，请需仔细阅读竞争性磋商文件和三门峡市公共资源交易中心官网业务办理指南。</w:t>
      </w:r>
    </w:p>
    <w:p w14:paraId="16EF248E">
      <w:pPr>
        <w:pageBreakBefore w:val="0"/>
        <w:widowControl/>
        <w:kinsoku/>
        <w:overflowPunct/>
        <w:topLinePunct w:val="0"/>
        <w:bidi w:val="0"/>
        <w:spacing w:line="480" w:lineRule="exact"/>
        <w:ind w:right="-57" w:rightChars="-27" w:firstLine="482" w:firstLineChars="200"/>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八</w:t>
      </w:r>
      <w:r>
        <w:rPr>
          <w:rFonts w:hint="eastAsia" w:ascii="宋体" w:hAnsi="宋体" w:eastAsia="宋体" w:cs="宋体"/>
          <w:b/>
          <w:bCs/>
          <w:color w:val="auto"/>
          <w:kern w:val="0"/>
          <w:sz w:val="24"/>
          <w:szCs w:val="24"/>
          <w:highlight w:val="none"/>
        </w:rPr>
        <w:t>、联系方式</w:t>
      </w:r>
    </w:p>
    <w:p w14:paraId="3962FA2C">
      <w:pPr>
        <w:pageBreakBefore w:val="0"/>
        <w:widowControl/>
        <w:kinsoku/>
        <w:overflowPunct/>
        <w:topLinePunct w:val="0"/>
        <w:bidi w:val="0"/>
        <w:spacing w:line="480" w:lineRule="exact"/>
        <w:ind w:firstLine="480" w:firstLineChars="200"/>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监督单位：三门峡市财政局政府采购监督管理科</w:t>
      </w:r>
    </w:p>
    <w:p w14:paraId="79CE51DD">
      <w:pPr>
        <w:pageBreakBefore w:val="0"/>
        <w:widowControl/>
        <w:kinsoku/>
        <w:overflowPunct/>
        <w:topLinePunct w:val="0"/>
        <w:bidi w:val="0"/>
        <w:spacing w:line="480" w:lineRule="exact"/>
        <w:ind w:firstLine="480" w:firstLineChars="200"/>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电话：0398-2608915 </w:t>
      </w:r>
    </w:p>
    <w:p w14:paraId="62A87E65">
      <w:pPr>
        <w:pageBreakBefore w:val="0"/>
        <w:widowControl/>
        <w:kinsoku/>
        <w:overflowPunct/>
        <w:topLinePunct w:val="0"/>
        <w:bidi w:val="0"/>
        <w:spacing w:line="480" w:lineRule="exact"/>
        <w:ind w:firstLine="480" w:firstLineChars="200"/>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采购人：</w:t>
      </w:r>
      <w:r>
        <w:rPr>
          <w:rFonts w:hint="eastAsia" w:ascii="宋体" w:hAnsi="宋体" w:eastAsia="宋体" w:cs="宋体"/>
          <w:color w:val="auto"/>
          <w:kern w:val="0"/>
          <w:sz w:val="24"/>
          <w:szCs w:val="24"/>
          <w:highlight w:val="none"/>
          <w:lang w:eastAsia="zh-CN"/>
        </w:rPr>
        <w:t xml:space="preserve">三门峡市文博城事务中心 </w:t>
      </w:r>
    </w:p>
    <w:p w14:paraId="21CA7D13">
      <w:pPr>
        <w:pageBreakBefore w:val="0"/>
        <w:widowControl/>
        <w:kinsoku/>
        <w:overflowPunct/>
        <w:topLinePunct w:val="0"/>
        <w:bidi w:val="0"/>
        <w:spacing w:line="480" w:lineRule="exact"/>
        <w:ind w:firstLine="480" w:firstLineChars="200"/>
        <w:outlineLvl w:val="9"/>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地  址：三门峡</w:t>
      </w:r>
      <w:r>
        <w:rPr>
          <w:rFonts w:hint="eastAsia" w:ascii="宋体" w:hAnsi="宋体" w:eastAsia="宋体" w:cs="宋体"/>
          <w:color w:val="auto"/>
          <w:kern w:val="0"/>
          <w:sz w:val="24"/>
          <w:szCs w:val="24"/>
          <w:highlight w:val="none"/>
          <w:lang w:val="en-US" w:eastAsia="zh-CN"/>
        </w:rPr>
        <w:t>市五原西路</w:t>
      </w:r>
    </w:p>
    <w:p w14:paraId="62507E9F">
      <w:pPr>
        <w:pageBreakBefore w:val="0"/>
        <w:widowControl/>
        <w:kinsoku/>
        <w:overflowPunct/>
        <w:topLinePunct w:val="0"/>
        <w:bidi w:val="0"/>
        <w:spacing w:line="480" w:lineRule="exact"/>
        <w:ind w:firstLine="480" w:firstLineChars="200"/>
        <w:outlineLvl w:val="9"/>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联系人：任先生</w:t>
      </w:r>
    </w:p>
    <w:p w14:paraId="07B62BE4">
      <w:pPr>
        <w:pageBreakBefore w:val="0"/>
        <w:widowControl/>
        <w:kinsoku/>
        <w:overflowPunct/>
        <w:topLinePunct w:val="0"/>
        <w:bidi w:val="0"/>
        <w:spacing w:line="480" w:lineRule="exact"/>
        <w:ind w:firstLine="480" w:firstLineChars="200"/>
        <w:outlineLvl w:val="9"/>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电  话</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 xml:space="preserve"> 0398-2169325</w:t>
      </w:r>
    </w:p>
    <w:p w14:paraId="01167261">
      <w:pPr>
        <w:pageBreakBefore w:val="0"/>
        <w:widowControl/>
        <w:kinsoku/>
        <w:overflowPunct/>
        <w:topLinePunct w:val="0"/>
        <w:bidi w:val="0"/>
        <w:spacing w:line="480" w:lineRule="exact"/>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采购代理机构：</w:t>
      </w:r>
      <w:r>
        <w:rPr>
          <w:rFonts w:hint="eastAsia" w:ascii="宋体" w:hAnsi="宋体" w:eastAsia="宋体" w:cs="宋体"/>
          <w:color w:val="auto"/>
          <w:kern w:val="0"/>
          <w:sz w:val="24"/>
          <w:szCs w:val="24"/>
          <w:highlight w:val="none"/>
          <w:lang w:eastAsia="zh-CN"/>
        </w:rPr>
        <w:t>河南恒泽顺工程管理有限公司</w:t>
      </w:r>
      <w:r>
        <w:rPr>
          <w:rFonts w:hint="eastAsia" w:ascii="宋体" w:hAnsi="宋体" w:eastAsia="宋体" w:cs="宋体"/>
          <w:color w:val="auto"/>
          <w:kern w:val="0"/>
          <w:sz w:val="24"/>
          <w:szCs w:val="24"/>
          <w:highlight w:val="none"/>
        </w:rPr>
        <w:t xml:space="preserve"> </w:t>
      </w:r>
    </w:p>
    <w:p w14:paraId="10FD775E">
      <w:pPr>
        <w:pageBreakBefore w:val="0"/>
        <w:widowControl/>
        <w:kinsoku/>
        <w:overflowPunct/>
        <w:topLinePunct w:val="0"/>
        <w:bidi w:val="0"/>
        <w:spacing w:line="480" w:lineRule="exact"/>
        <w:ind w:firstLine="480" w:firstLineChars="200"/>
        <w:outlineLvl w:val="9"/>
        <w:rPr>
          <w:rFonts w:hint="eastAsia" w:ascii="宋体" w:hAnsi="宋体" w:cs="宋体"/>
          <w:color w:val="auto"/>
          <w:sz w:val="24"/>
          <w:highlight w:val="none"/>
          <w:lang w:bidi="ar"/>
        </w:rPr>
      </w:pPr>
      <w:r>
        <w:rPr>
          <w:rFonts w:hint="eastAsia" w:ascii="宋体" w:hAnsi="宋体" w:cs="宋体"/>
          <w:color w:val="auto"/>
          <w:sz w:val="24"/>
          <w:highlight w:val="none"/>
          <w:lang w:bidi="ar"/>
        </w:rPr>
        <w:t>地 址：三门峡市工商联大厦B座1102室</w:t>
      </w:r>
    </w:p>
    <w:p w14:paraId="31C22B80">
      <w:pPr>
        <w:pageBreakBefore w:val="0"/>
        <w:widowControl/>
        <w:kinsoku/>
        <w:overflowPunct/>
        <w:topLinePunct w:val="0"/>
        <w:bidi w:val="0"/>
        <w:spacing w:line="480" w:lineRule="exact"/>
        <w:ind w:firstLine="480" w:firstLineChars="200"/>
        <w:outlineLvl w:val="9"/>
        <w:rPr>
          <w:rFonts w:hint="eastAsia" w:ascii="宋体" w:hAnsi="宋体" w:cs="宋体"/>
          <w:color w:val="auto"/>
          <w:sz w:val="24"/>
          <w:highlight w:val="none"/>
          <w:lang w:bidi="ar"/>
        </w:rPr>
      </w:pPr>
      <w:r>
        <w:rPr>
          <w:rFonts w:hint="eastAsia" w:ascii="宋体" w:hAnsi="宋体" w:cs="宋体"/>
          <w:color w:val="auto"/>
          <w:sz w:val="24"/>
          <w:highlight w:val="none"/>
          <w:lang w:bidi="ar"/>
        </w:rPr>
        <w:t>联系人：</w:t>
      </w:r>
      <w:r>
        <w:rPr>
          <w:rFonts w:hint="eastAsia" w:ascii="宋体" w:hAnsi="宋体" w:cs="宋体"/>
          <w:color w:val="auto"/>
          <w:sz w:val="24"/>
          <w:highlight w:val="none"/>
          <w:lang w:val="en-US" w:eastAsia="zh-CN" w:bidi="ar"/>
        </w:rPr>
        <w:t>杨</w:t>
      </w:r>
      <w:r>
        <w:rPr>
          <w:rFonts w:hint="eastAsia" w:ascii="宋体" w:hAnsi="宋体" w:cs="宋体"/>
          <w:color w:val="auto"/>
          <w:sz w:val="24"/>
          <w:highlight w:val="none"/>
          <w:lang w:bidi="ar"/>
        </w:rPr>
        <w:t>女士</w:t>
      </w:r>
    </w:p>
    <w:p w14:paraId="0B98EF75">
      <w:pPr>
        <w:pageBreakBefore w:val="0"/>
        <w:widowControl/>
        <w:kinsoku/>
        <w:overflowPunct/>
        <w:topLinePunct w:val="0"/>
        <w:bidi w:val="0"/>
        <w:spacing w:line="480" w:lineRule="exact"/>
        <w:ind w:firstLine="480" w:firstLineChars="200"/>
        <w:outlineLvl w:val="9"/>
        <w:rPr>
          <w:rFonts w:hint="eastAsia" w:ascii="宋体" w:hAnsi="宋体" w:cs="宋体"/>
          <w:color w:val="auto"/>
          <w:sz w:val="24"/>
          <w:highlight w:val="none"/>
          <w:lang w:val="en-US" w:eastAsia="zh-CN" w:bidi="ar"/>
        </w:rPr>
      </w:pPr>
      <w:r>
        <w:rPr>
          <w:rFonts w:hint="eastAsia" w:ascii="宋体" w:hAnsi="宋体" w:cs="宋体"/>
          <w:color w:val="auto"/>
          <w:sz w:val="24"/>
          <w:highlight w:val="none"/>
          <w:lang w:bidi="ar"/>
        </w:rPr>
        <w:t>电 话：</w:t>
      </w:r>
      <w:r>
        <w:rPr>
          <w:rFonts w:hint="eastAsia" w:ascii="宋体" w:hAnsi="宋体" w:cs="宋体"/>
          <w:color w:val="auto"/>
          <w:sz w:val="24"/>
          <w:highlight w:val="none"/>
          <w:lang w:val="en-US" w:eastAsia="zh-CN" w:bidi="ar"/>
        </w:rPr>
        <w:t>0398-2180858  18639872617</w:t>
      </w:r>
    </w:p>
    <w:p w14:paraId="3997BF62">
      <w:pPr>
        <w:pageBreakBefore w:val="0"/>
        <w:widowControl/>
        <w:kinsoku/>
        <w:overflowPunct/>
        <w:topLinePunct w:val="0"/>
        <w:bidi w:val="0"/>
        <w:spacing w:line="480" w:lineRule="exact"/>
        <w:ind w:firstLine="480" w:firstLineChars="200"/>
        <w:outlineLvl w:val="9"/>
        <w:rPr>
          <w:rFonts w:hint="eastAsia" w:ascii="宋体" w:hAnsi="宋体" w:cs="宋体"/>
          <w:color w:val="auto"/>
          <w:sz w:val="24"/>
          <w:highlight w:val="none"/>
          <w:lang w:val="en-US" w:eastAsia="zh-CN" w:bidi="ar"/>
        </w:rPr>
      </w:pPr>
      <w:r>
        <w:rPr>
          <w:rFonts w:hint="eastAsia" w:ascii="宋体" w:hAnsi="宋体" w:cs="宋体"/>
          <w:color w:val="auto"/>
          <w:sz w:val="24"/>
          <w:highlight w:val="none"/>
          <w:lang w:bidi="ar"/>
        </w:rPr>
        <w:t>电子邮</w:t>
      </w:r>
      <w:r>
        <w:rPr>
          <w:rFonts w:hint="eastAsia" w:ascii="宋体" w:hAnsi="宋体" w:cs="宋体"/>
          <w:color w:val="auto"/>
          <w:sz w:val="24"/>
          <w:highlight w:val="none"/>
          <w:lang w:val="en-US" w:eastAsia="zh-CN" w:bidi="ar"/>
        </w:rPr>
        <w:t>箱</w:t>
      </w:r>
      <w:r>
        <w:rPr>
          <w:rFonts w:hint="eastAsia" w:ascii="宋体" w:hAnsi="宋体" w:cs="宋体"/>
          <w:color w:val="auto"/>
          <w:sz w:val="24"/>
          <w:highlight w:val="none"/>
          <w:lang w:bidi="ar"/>
        </w:rPr>
        <w:t>：</w:t>
      </w:r>
      <w:r>
        <w:rPr>
          <w:rFonts w:hint="eastAsia" w:ascii="宋体" w:hAnsi="宋体" w:cs="宋体"/>
          <w:color w:val="auto"/>
          <w:sz w:val="24"/>
          <w:highlight w:val="none"/>
          <w:lang w:bidi="ar"/>
        </w:rPr>
        <w:fldChar w:fldCharType="begin"/>
      </w:r>
      <w:r>
        <w:rPr>
          <w:rFonts w:hint="eastAsia" w:ascii="宋体" w:hAnsi="宋体" w:cs="宋体"/>
          <w:color w:val="auto"/>
          <w:sz w:val="24"/>
          <w:highlight w:val="none"/>
          <w:lang w:bidi="ar"/>
        </w:rPr>
        <w:instrText xml:space="preserve"> HYPERLINK "mailto:henanhengzeshunzb@126.com" </w:instrText>
      </w:r>
      <w:r>
        <w:rPr>
          <w:rFonts w:hint="eastAsia" w:ascii="宋体" w:hAnsi="宋体" w:cs="宋体"/>
          <w:color w:val="auto"/>
          <w:sz w:val="24"/>
          <w:highlight w:val="none"/>
          <w:lang w:bidi="ar"/>
        </w:rPr>
        <w:fldChar w:fldCharType="separate"/>
      </w:r>
      <w:r>
        <w:rPr>
          <w:rFonts w:hint="eastAsia" w:ascii="宋体" w:hAnsi="宋体" w:cs="宋体"/>
          <w:color w:val="auto"/>
          <w:sz w:val="24"/>
          <w:highlight w:val="none"/>
          <w:lang w:bidi="ar"/>
        </w:rPr>
        <w:t>henanhengzeshunzb@126.com</w:t>
      </w:r>
      <w:r>
        <w:rPr>
          <w:rFonts w:hint="eastAsia" w:ascii="宋体" w:hAnsi="宋体" w:cs="宋体"/>
          <w:color w:val="auto"/>
          <w:sz w:val="24"/>
          <w:highlight w:val="none"/>
          <w:lang w:bidi="ar"/>
        </w:rPr>
        <w:fldChar w:fldCharType="end"/>
      </w:r>
    </w:p>
    <w:p w14:paraId="3277F81E">
      <w:pPr>
        <w:pageBreakBefore w:val="0"/>
        <w:widowControl/>
        <w:kinsoku/>
        <w:overflowPunct/>
        <w:topLinePunct w:val="0"/>
        <w:bidi w:val="0"/>
        <w:spacing w:line="480" w:lineRule="exact"/>
        <w:ind w:firstLine="480" w:firstLineChars="200"/>
        <w:jc w:val="right"/>
        <w:outlineLvl w:val="9"/>
        <w:rPr>
          <w:rFonts w:hint="default"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2025年 9月 4日</w:t>
      </w:r>
    </w:p>
    <w:p w14:paraId="425A5353">
      <w:pPr>
        <w:pageBreakBefore w:val="0"/>
        <w:kinsoku/>
        <w:overflowPunct/>
        <w:topLinePunct w:val="0"/>
        <w:bidi w:val="0"/>
        <w:outlineLvl w:val="9"/>
        <w:rPr>
          <w:rFonts w:hint="eastAsia"/>
          <w:color w:val="auto"/>
          <w:highlight w:val="none"/>
        </w:rPr>
      </w:pPr>
      <w:bookmarkStart w:id="24" w:name="_Toc69718832"/>
      <w:bookmarkEnd w:id="24"/>
      <w:bookmarkStart w:id="25" w:name="_Toc114"/>
      <w:r>
        <w:rPr>
          <w:rFonts w:hint="eastAsia"/>
          <w:color w:val="auto"/>
          <w:highlight w:val="none"/>
        </w:rPr>
        <w:br w:type="page"/>
      </w:r>
    </w:p>
    <w:p w14:paraId="2860E670">
      <w:pPr>
        <w:keepNext/>
        <w:keepLines/>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b/>
          <w:bCs/>
          <w:color w:val="auto"/>
          <w:sz w:val="36"/>
          <w:szCs w:val="40"/>
          <w:highlight w:val="none"/>
        </w:rPr>
      </w:pPr>
      <w:bookmarkStart w:id="26" w:name="_Toc14672"/>
      <w:bookmarkStart w:id="27" w:name="_Toc81"/>
      <w:bookmarkStart w:id="28" w:name="_Toc19650"/>
      <w:r>
        <w:rPr>
          <w:rFonts w:hint="eastAsia"/>
          <w:b/>
          <w:bCs/>
          <w:color w:val="auto"/>
          <w:sz w:val="36"/>
          <w:szCs w:val="40"/>
          <w:highlight w:val="none"/>
        </w:rPr>
        <w:t>第二章</w:t>
      </w:r>
      <w:r>
        <w:rPr>
          <w:rFonts w:hint="eastAsia"/>
          <w:b/>
          <w:bCs/>
          <w:color w:val="auto"/>
          <w:sz w:val="36"/>
          <w:szCs w:val="40"/>
          <w:highlight w:val="none"/>
          <w:lang w:val="en-US" w:eastAsia="zh-CN"/>
        </w:rPr>
        <w:t xml:space="preserve">  </w:t>
      </w:r>
      <w:r>
        <w:rPr>
          <w:rFonts w:hint="eastAsia"/>
          <w:b/>
          <w:bCs/>
          <w:color w:val="auto"/>
          <w:sz w:val="36"/>
          <w:szCs w:val="40"/>
          <w:highlight w:val="none"/>
          <w:lang w:eastAsia="zh-CN"/>
        </w:rPr>
        <w:t>供应商</w:t>
      </w:r>
      <w:r>
        <w:rPr>
          <w:rFonts w:hint="eastAsia"/>
          <w:b/>
          <w:bCs/>
          <w:color w:val="auto"/>
          <w:sz w:val="36"/>
          <w:szCs w:val="40"/>
          <w:highlight w:val="none"/>
        </w:rPr>
        <w:t>须知</w:t>
      </w:r>
      <w:bookmarkEnd w:id="25"/>
      <w:bookmarkEnd w:id="26"/>
      <w:bookmarkEnd w:id="27"/>
      <w:bookmarkEnd w:id="28"/>
    </w:p>
    <w:p w14:paraId="6B26E43D">
      <w:pPr>
        <w:pageBreakBefore w:val="0"/>
        <w:kinsoku/>
        <w:overflowPunct/>
        <w:topLinePunct w:val="0"/>
        <w:bidi w:val="0"/>
        <w:spacing w:line="360" w:lineRule="auto"/>
        <w:ind w:firstLine="200"/>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须知前附表</w:t>
      </w:r>
    </w:p>
    <w:tbl>
      <w:tblPr>
        <w:tblStyle w:val="23"/>
        <w:tblW w:w="9235" w:type="dxa"/>
        <w:jc w:val="center"/>
        <w:tblLayout w:type="fixed"/>
        <w:tblCellMar>
          <w:top w:w="0" w:type="dxa"/>
          <w:left w:w="108" w:type="dxa"/>
          <w:bottom w:w="0" w:type="dxa"/>
          <w:right w:w="108" w:type="dxa"/>
        </w:tblCellMar>
      </w:tblPr>
      <w:tblGrid>
        <w:gridCol w:w="1010"/>
        <w:gridCol w:w="2870"/>
        <w:gridCol w:w="5355"/>
      </w:tblGrid>
      <w:tr w14:paraId="2CFB4DD6">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3939D267">
            <w:pPr>
              <w:pageBreakBefore w:val="0"/>
              <w:kinsoku/>
              <w:overflowPunct/>
              <w:topLinePunct w:val="0"/>
              <w:bidi w:val="0"/>
              <w:spacing w:line="360" w:lineRule="auto"/>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2870" w:type="dxa"/>
            <w:tcBorders>
              <w:top w:val="single" w:color="auto" w:sz="4" w:space="0"/>
              <w:left w:val="nil"/>
              <w:bottom w:val="single" w:color="auto" w:sz="4" w:space="0"/>
              <w:right w:val="single" w:color="auto" w:sz="4" w:space="0"/>
            </w:tcBorders>
            <w:vAlign w:val="center"/>
          </w:tcPr>
          <w:p w14:paraId="60E73AFE">
            <w:pPr>
              <w:pageBreakBefore w:val="0"/>
              <w:kinsoku/>
              <w:overflowPunct/>
              <w:topLinePunct w:val="0"/>
              <w:bidi w:val="0"/>
              <w:spacing w:line="360" w:lineRule="auto"/>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条款名称</w:t>
            </w:r>
          </w:p>
        </w:tc>
        <w:tc>
          <w:tcPr>
            <w:tcW w:w="5355" w:type="dxa"/>
            <w:tcBorders>
              <w:top w:val="single" w:color="auto" w:sz="4" w:space="0"/>
              <w:left w:val="nil"/>
              <w:bottom w:val="single" w:color="auto" w:sz="4" w:space="0"/>
              <w:right w:val="single" w:color="auto" w:sz="4" w:space="0"/>
            </w:tcBorders>
            <w:vAlign w:val="center"/>
          </w:tcPr>
          <w:p w14:paraId="23393E9F">
            <w:pPr>
              <w:pageBreakBefore w:val="0"/>
              <w:kinsoku/>
              <w:overflowPunct/>
              <w:topLinePunct w:val="0"/>
              <w:bidi w:val="0"/>
              <w:spacing w:line="360" w:lineRule="auto"/>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编列内容</w:t>
            </w:r>
          </w:p>
        </w:tc>
      </w:tr>
      <w:tr w14:paraId="623535D3">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32A48EFB">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870" w:type="dxa"/>
            <w:tcBorders>
              <w:top w:val="single" w:color="auto" w:sz="4" w:space="0"/>
              <w:left w:val="nil"/>
              <w:bottom w:val="single" w:color="auto" w:sz="4" w:space="0"/>
              <w:right w:val="single" w:color="auto" w:sz="4" w:space="0"/>
            </w:tcBorders>
            <w:vAlign w:val="center"/>
          </w:tcPr>
          <w:p w14:paraId="758305D2">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采购人</w:t>
            </w:r>
          </w:p>
        </w:tc>
        <w:tc>
          <w:tcPr>
            <w:tcW w:w="5355" w:type="dxa"/>
            <w:tcBorders>
              <w:top w:val="single" w:color="auto" w:sz="4" w:space="0"/>
              <w:left w:val="nil"/>
              <w:bottom w:val="single" w:color="auto" w:sz="4" w:space="0"/>
              <w:right w:val="single" w:color="auto" w:sz="4" w:space="0"/>
            </w:tcBorders>
            <w:vAlign w:val="center"/>
          </w:tcPr>
          <w:p w14:paraId="60BBFDD3">
            <w:pPr>
              <w:pageBreakBefore w:val="0"/>
              <w:widowControl/>
              <w:kinsoku/>
              <w:overflowPunct/>
              <w:topLinePunct w:val="0"/>
              <w:bidi w:val="0"/>
              <w:spacing w:line="480" w:lineRule="exact"/>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采购人：</w:t>
            </w:r>
            <w:r>
              <w:rPr>
                <w:rFonts w:hint="eastAsia" w:ascii="宋体" w:hAnsi="宋体" w:eastAsia="宋体" w:cs="宋体"/>
                <w:color w:val="auto"/>
                <w:kern w:val="0"/>
                <w:sz w:val="24"/>
                <w:szCs w:val="24"/>
                <w:highlight w:val="none"/>
                <w:lang w:eastAsia="zh-CN"/>
              </w:rPr>
              <w:t xml:space="preserve">三门峡市文博城事务中心 </w:t>
            </w:r>
          </w:p>
          <w:p w14:paraId="1C23EA73">
            <w:pPr>
              <w:pageBreakBefore w:val="0"/>
              <w:widowControl/>
              <w:kinsoku/>
              <w:overflowPunct/>
              <w:topLinePunct w:val="0"/>
              <w:bidi w:val="0"/>
              <w:spacing w:line="480" w:lineRule="exact"/>
              <w:outlineLvl w:val="9"/>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地  址：三门峡</w:t>
            </w:r>
            <w:r>
              <w:rPr>
                <w:rFonts w:hint="eastAsia" w:ascii="宋体" w:hAnsi="宋体" w:eastAsia="宋体" w:cs="宋体"/>
                <w:color w:val="auto"/>
                <w:kern w:val="0"/>
                <w:sz w:val="24"/>
                <w:szCs w:val="24"/>
                <w:highlight w:val="none"/>
                <w:lang w:val="en-US" w:eastAsia="zh-CN"/>
              </w:rPr>
              <w:t>市五原西路</w:t>
            </w:r>
          </w:p>
          <w:p w14:paraId="7FE54310">
            <w:pPr>
              <w:pageBreakBefore w:val="0"/>
              <w:widowControl/>
              <w:kinsoku/>
              <w:overflowPunct/>
              <w:topLinePunct w:val="0"/>
              <w:bidi w:val="0"/>
              <w:spacing w:line="480" w:lineRule="exact"/>
              <w:outlineLvl w:val="9"/>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联系人：</w:t>
            </w:r>
            <w:r>
              <w:rPr>
                <w:rFonts w:hint="eastAsia" w:ascii="宋体" w:hAnsi="宋体" w:eastAsia="宋体" w:cs="宋体"/>
                <w:color w:val="auto"/>
                <w:sz w:val="24"/>
                <w:szCs w:val="24"/>
                <w:highlight w:val="none"/>
                <w:lang w:val="en-US" w:eastAsia="zh-CN"/>
              </w:rPr>
              <w:t>任先生</w:t>
            </w:r>
          </w:p>
          <w:p w14:paraId="79760958">
            <w:pPr>
              <w:pageBreakBefore w:val="0"/>
              <w:widowControl/>
              <w:kinsoku/>
              <w:overflowPunct/>
              <w:topLinePunct w:val="0"/>
              <w:bidi w:val="0"/>
              <w:spacing w:line="480" w:lineRule="exact"/>
              <w:outlineLvl w:val="9"/>
              <w:rPr>
                <w:rFonts w:hint="default" w:ascii="宋体" w:hAnsi="宋体" w:eastAsia="宋体" w:cs="宋体"/>
                <w:color w:val="auto"/>
                <w:sz w:val="24"/>
                <w:szCs w:val="24"/>
                <w:highlight w:val="none"/>
                <w:lang w:val="en-US"/>
              </w:rPr>
            </w:pPr>
            <w:r>
              <w:rPr>
                <w:rFonts w:hint="default" w:ascii="宋体" w:hAnsi="宋体" w:eastAsia="宋体" w:cs="宋体"/>
                <w:color w:val="auto"/>
                <w:sz w:val="24"/>
                <w:szCs w:val="24"/>
                <w:highlight w:val="none"/>
                <w:lang w:val="en-US" w:eastAsia="zh-CN"/>
              </w:rPr>
              <w:t>电  话</w:t>
            </w:r>
            <w:r>
              <w:rPr>
                <w:rFonts w:hint="default" w:ascii="宋体" w:hAnsi="宋体" w:eastAsia="宋体" w:cs="宋体"/>
                <w:color w:val="auto"/>
                <w:sz w:val="24"/>
                <w:szCs w:val="24"/>
                <w:highlight w:val="none"/>
                <w:lang w:val="en-US"/>
              </w:rPr>
              <w:t>：</w:t>
            </w:r>
            <w:r>
              <w:rPr>
                <w:rFonts w:hint="eastAsia" w:ascii="宋体" w:hAnsi="宋体" w:eastAsia="宋体" w:cs="宋体"/>
                <w:color w:val="auto"/>
                <w:kern w:val="0"/>
                <w:sz w:val="24"/>
                <w:szCs w:val="24"/>
                <w:highlight w:val="none"/>
                <w:lang w:val="en-US" w:eastAsia="zh-CN"/>
              </w:rPr>
              <w:t>0398-2169325</w:t>
            </w:r>
            <w:r>
              <w:rPr>
                <w:rFonts w:hint="eastAsia" w:ascii="宋体" w:hAnsi="宋体" w:eastAsia="宋体" w:cs="宋体"/>
                <w:color w:val="auto"/>
                <w:sz w:val="24"/>
                <w:szCs w:val="24"/>
                <w:highlight w:val="none"/>
                <w:lang w:val="en-US" w:eastAsia="zh-CN"/>
              </w:rPr>
              <w:t xml:space="preserve"> </w:t>
            </w:r>
          </w:p>
        </w:tc>
      </w:tr>
      <w:tr w14:paraId="5D64199E">
        <w:tblPrEx>
          <w:tblCellMar>
            <w:top w:w="0" w:type="dxa"/>
            <w:left w:w="108" w:type="dxa"/>
            <w:bottom w:w="0" w:type="dxa"/>
            <w:right w:w="108" w:type="dxa"/>
          </w:tblCellMar>
        </w:tblPrEx>
        <w:trPr>
          <w:trHeight w:val="244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11825BD9">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870" w:type="dxa"/>
            <w:tcBorders>
              <w:top w:val="single" w:color="auto" w:sz="4" w:space="0"/>
              <w:left w:val="nil"/>
              <w:bottom w:val="single" w:color="auto" w:sz="4" w:space="0"/>
              <w:right w:val="single" w:color="auto" w:sz="4" w:space="0"/>
            </w:tcBorders>
            <w:vAlign w:val="center"/>
          </w:tcPr>
          <w:p w14:paraId="156E4DC8">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代理机构</w:t>
            </w:r>
          </w:p>
        </w:tc>
        <w:tc>
          <w:tcPr>
            <w:tcW w:w="5355" w:type="dxa"/>
            <w:tcBorders>
              <w:top w:val="single" w:color="auto" w:sz="4" w:space="0"/>
              <w:left w:val="nil"/>
              <w:bottom w:val="single" w:color="auto" w:sz="4" w:space="0"/>
              <w:right w:val="single" w:color="auto" w:sz="4" w:space="0"/>
            </w:tcBorders>
            <w:vAlign w:val="center"/>
          </w:tcPr>
          <w:p w14:paraId="267488D6">
            <w:pPr>
              <w:pageBreakBefore w:val="0"/>
              <w:widowControl/>
              <w:kinsoku/>
              <w:overflowPunct/>
              <w:topLinePunct w:val="0"/>
              <w:bidi w:val="0"/>
              <w:spacing w:line="48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r>
              <w:rPr>
                <w:rFonts w:hint="eastAsia" w:ascii="宋体" w:hAnsi="宋体" w:eastAsia="宋体" w:cs="宋体"/>
                <w:color w:val="auto"/>
                <w:sz w:val="24"/>
                <w:szCs w:val="24"/>
                <w:highlight w:val="none"/>
                <w:lang w:eastAsia="zh-CN"/>
              </w:rPr>
              <w:t>河南恒泽顺工程管理有限公司</w:t>
            </w:r>
            <w:r>
              <w:rPr>
                <w:rFonts w:hint="eastAsia" w:ascii="宋体" w:hAnsi="宋体" w:eastAsia="宋体" w:cs="宋体"/>
                <w:color w:val="auto"/>
                <w:sz w:val="24"/>
                <w:szCs w:val="24"/>
                <w:highlight w:val="none"/>
              </w:rPr>
              <w:t xml:space="preserve"> </w:t>
            </w:r>
          </w:p>
          <w:p w14:paraId="7D1BB47D">
            <w:pPr>
              <w:pageBreakBefore w:val="0"/>
              <w:widowControl/>
              <w:kinsoku/>
              <w:overflowPunct/>
              <w:topLinePunct w:val="0"/>
              <w:bidi w:val="0"/>
              <w:spacing w:line="48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址：三门峡市工商联大厦B座1102室</w:t>
            </w:r>
          </w:p>
          <w:p w14:paraId="1FFF7296">
            <w:pPr>
              <w:pageBreakBefore w:val="0"/>
              <w:widowControl/>
              <w:kinsoku/>
              <w:overflowPunct/>
              <w:topLinePunct w:val="0"/>
              <w:bidi w:val="0"/>
              <w:spacing w:line="48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杨</w:t>
            </w:r>
            <w:r>
              <w:rPr>
                <w:rFonts w:hint="eastAsia" w:ascii="宋体" w:hAnsi="宋体" w:eastAsia="宋体" w:cs="宋体"/>
                <w:color w:val="auto"/>
                <w:sz w:val="24"/>
                <w:szCs w:val="24"/>
                <w:highlight w:val="none"/>
              </w:rPr>
              <w:t>女士</w:t>
            </w:r>
          </w:p>
          <w:p w14:paraId="603BC99B">
            <w:pPr>
              <w:pageBreakBefore w:val="0"/>
              <w:widowControl/>
              <w:kinsoku/>
              <w:overflowPunct/>
              <w:topLinePunct w:val="0"/>
              <w:bidi w:val="0"/>
              <w:spacing w:line="480" w:lineRule="exact"/>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cs="宋体"/>
                <w:color w:val="auto"/>
                <w:sz w:val="24"/>
                <w:highlight w:val="none"/>
                <w:lang w:val="en-US" w:eastAsia="zh-CN" w:bidi="ar"/>
              </w:rPr>
              <w:t>0398-2180858、18639872617</w:t>
            </w:r>
          </w:p>
          <w:p w14:paraId="6C97BE62">
            <w:pPr>
              <w:pageBreakBefore w:val="0"/>
              <w:widowControl/>
              <w:kinsoku/>
              <w:overflowPunct/>
              <w:topLinePunct w:val="0"/>
              <w:bidi w:val="0"/>
              <w:spacing w:line="48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w:t>
            </w:r>
            <w:r>
              <w:rPr>
                <w:rFonts w:hint="eastAsia" w:ascii="宋体" w:hAnsi="宋体" w:eastAsia="宋体" w:cs="宋体"/>
                <w:color w:val="auto"/>
                <w:sz w:val="24"/>
                <w:szCs w:val="24"/>
                <w:highlight w:val="none"/>
                <w:lang w:val="en-US" w:eastAsia="zh-CN"/>
              </w:rPr>
              <w:t>邮箱</w:t>
            </w:r>
            <w:r>
              <w:rPr>
                <w:rFonts w:hint="eastAsia" w:ascii="宋体" w:hAnsi="宋体" w:eastAsia="宋体" w:cs="宋体"/>
                <w:color w:val="auto"/>
                <w:sz w:val="24"/>
                <w:szCs w:val="24"/>
                <w:highlight w:val="none"/>
              </w:rPr>
              <w:t>：henanhengzeshunzb@126.com</w:t>
            </w:r>
          </w:p>
        </w:tc>
      </w:tr>
      <w:tr w14:paraId="0FDEFB49">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18F033A9">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870" w:type="dxa"/>
            <w:tcBorders>
              <w:top w:val="single" w:color="auto" w:sz="4" w:space="0"/>
              <w:left w:val="nil"/>
              <w:bottom w:val="single" w:color="auto" w:sz="4" w:space="0"/>
              <w:right w:val="single" w:color="auto" w:sz="4" w:space="0"/>
            </w:tcBorders>
            <w:vAlign w:val="center"/>
          </w:tcPr>
          <w:p w14:paraId="49F65D05">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5355" w:type="dxa"/>
            <w:tcBorders>
              <w:top w:val="single" w:color="auto" w:sz="4" w:space="0"/>
              <w:left w:val="nil"/>
              <w:bottom w:val="single" w:color="auto" w:sz="4" w:space="0"/>
              <w:right w:val="single" w:color="auto" w:sz="4" w:space="0"/>
            </w:tcBorders>
            <w:vAlign w:val="center"/>
          </w:tcPr>
          <w:p w14:paraId="722AFBA5">
            <w:pPr>
              <w:pageBreakBefore w:val="0"/>
              <w:kinsoku/>
              <w:overflowPunct/>
              <w:topLinePunct w:val="0"/>
              <w:bidi w:val="0"/>
              <w:spacing w:line="360" w:lineRule="auto"/>
              <w:jc w:val="left"/>
              <w:outlineLvl w:val="9"/>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文博城大剧院老旧设施设备维修改造项目</w:t>
            </w:r>
          </w:p>
        </w:tc>
      </w:tr>
      <w:tr w14:paraId="1019F59F">
        <w:tblPrEx>
          <w:tblCellMar>
            <w:top w:w="0" w:type="dxa"/>
            <w:left w:w="108" w:type="dxa"/>
            <w:bottom w:w="0" w:type="dxa"/>
            <w:right w:w="108" w:type="dxa"/>
          </w:tblCellMar>
        </w:tblPrEx>
        <w:trPr>
          <w:trHeight w:val="526"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081C2821">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870" w:type="dxa"/>
            <w:tcBorders>
              <w:top w:val="single" w:color="auto" w:sz="4" w:space="0"/>
              <w:left w:val="nil"/>
              <w:bottom w:val="single" w:color="auto" w:sz="4" w:space="0"/>
              <w:right w:val="single" w:color="auto" w:sz="4" w:space="0"/>
            </w:tcBorders>
            <w:vAlign w:val="center"/>
          </w:tcPr>
          <w:p w14:paraId="75DA66D5">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项目地点</w:t>
            </w:r>
          </w:p>
        </w:tc>
        <w:tc>
          <w:tcPr>
            <w:tcW w:w="5355" w:type="dxa"/>
            <w:tcBorders>
              <w:top w:val="single" w:color="auto" w:sz="4" w:space="0"/>
              <w:left w:val="nil"/>
              <w:bottom w:val="single" w:color="auto" w:sz="4" w:space="0"/>
              <w:right w:val="single" w:color="auto" w:sz="4" w:space="0"/>
            </w:tcBorders>
            <w:vAlign w:val="center"/>
          </w:tcPr>
          <w:p w14:paraId="54545D9D">
            <w:pPr>
              <w:pageBreakBefore w:val="0"/>
              <w:kinsoku/>
              <w:overflowPunct/>
              <w:topLinePunct w:val="0"/>
              <w:bidi w:val="0"/>
              <w:spacing w:line="360" w:lineRule="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三门峡市</w:t>
            </w:r>
            <w:r>
              <w:rPr>
                <w:rFonts w:hint="default" w:ascii="宋体" w:hAnsi="宋体" w:eastAsia="宋体" w:cs="宋体"/>
                <w:color w:val="auto"/>
                <w:sz w:val="24"/>
                <w:szCs w:val="24"/>
                <w:highlight w:val="none"/>
                <w:lang w:val="en-US" w:eastAsia="zh-CN"/>
              </w:rPr>
              <w:t>文博城大剧院</w:t>
            </w:r>
          </w:p>
        </w:tc>
      </w:tr>
      <w:tr w14:paraId="4D52694B">
        <w:tblPrEx>
          <w:tblCellMar>
            <w:top w:w="0" w:type="dxa"/>
            <w:left w:w="108" w:type="dxa"/>
            <w:bottom w:w="0" w:type="dxa"/>
            <w:right w:w="108" w:type="dxa"/>
          </w:tblCellMar>
        </w:tblPrEx>
        <w:trPr>
          <w:trHeight w:val="98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239F6D23">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870" w:type="dxa"/>
            <w:tcBorders>
              <w:top w:val="single" w:color="auto" w:sz="4" w:space="0"/>
              <w:left w:val="nil"/>
              <w:bottom w:val="single" w:color="auto" w:sz="4" w:space="0"/>
              <w:right w:val="single" w:color="auto" w:sz="4" w:space="0"/>
            </w:tcBorders>
            <w:vAlign w:val="center"/>
          </w:tcPr>
          <w:p w14:paraId="1028847C">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rPr>
              <w:t>采购内容</w:t>
            </w:r>
          </w:p>
        </w:tc>
        <w:tc>
          <w:tcPr>
            <w:tcW w:w="5355" w:type="dxa"/>
            <w:tcBorders>
              <w:top w:val="single" w:color="auto" w:sz="4" w:space="0"/>
              <w:left w:val="nil"/>
              <w:bottom w:val="single" w:color="auto" w:sz="4" w:space="0"/>
              <w:right w:val="single" w:color="auto" w:sz="4" w:space="0"/>
            </w:tcBorders>
            <w:vAlign w:val="center"/>
          </w:tcPr>
          <w:p w14:paraId="0A987F84">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项目为文博城大剧院老旧设施设备维修改造项目，项目主要内容为舞台灯光、会场照明设施、调音台等设施设备采购；主席台会议桌、舞台幕布、台布台尼等设施采购；舞台移动阶梯及化妆间整修，具体内容详见招标文件。</w:t>
            </w:r>
          </w:p>
        </w:tc>
      </w:tr>
      <w:tr w14:paraId="192DC9C1">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71F9DBCF">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870" w:type="dxa"/>
            <w:tcBorders>
              <w:top w:val="single" w:color="auto" w:sz="4" w:space="0"/>
              <w:left w:val="nil"/>
              <w:bottom w:val="single" w:color="auto" w:sz="4" w:space="0"/>
              <w:right w:val="single" w:color="auto" w:sz="4" w:space="0"/>
            </w:tcBorders>
            <w:vAlign w:val="center"/>
          </w:tcPr>
          <w:p w14:paraId="21E5265A">
            <w:pPr>
              <w:pageBreakBefore w:val="0"/>
              <w:widowControl/>
              <w:kinsoku/>
              <w:overflowPunct/>
              <w:topLinePunct w:val="0"/>
              <w:bidi w:val="0"/>
              <w:spacing w:line="480" w:lineRule="exact"/>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资金来源</w:t>
            </w:r>
          </w:p>
        </w:tc>
        <w:tc>
          <w:tcPr>
            <w:tcW w:w="5355" w:type="dxa"/>
            <w:tcBorders>
              <w:top w:val="single" w:color="auto" w:sz="4" w:space="0"/>
              <w:left w:val="nil"/>
              <w:bottom w:val="single" w:color="auto" w:sz="4" w:space="0"/>
              <w:right w:val="single" w:color="auto" w:sz="4" w:space="0"/>
            </w:tcBorders>
            <w:vAlign w:val="center"/>
          </w:tcPr>
          <w:p w14:paraId="574B6A85">
            <w:pPr>
              <w:pageBreakBefore w:val="0"/>
              <w:widowControl/>
              <w:kinsoku/>
              <w:overflowPunct/>
              <w:topLinePunct w:val="0"/>
              <w:bidi w:val="0"/>
              <w:spacing w:line="480" w:lineRule="exact"/>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lang w:eastAsia="zh-CN"/>
              </w:rPr>
              <w:t>财政资金。</w:t>
            </w:r>
          </w:p>
        </w:tc>
      </w:tr>
      <w:tr w14:paraId="0ADE5BDF">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07AAC99C">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870" w:type="dxa"/>
            <w:tcBorders>
              <w:top w:val="single" w:color="auto" w:sz="4" w:space="0"/>
              <w:left w:val="nil"/>
              <w:bottom w:val="single" w:color="auto" w:sz="4" w:space="0"/>
              <w:right w:val="single" w:color="auto" w:sz="4" w:space="0"/>
            </w:tcBorders>
            <w:vAlign w:val="center"/>
          </w:tcPr>
          <w:p w14:paraId="6A2531CE">
            <w:pPr>
              <w:pageBreakBefore w:val="0"/>
              <w:widowControl/>
              <w:kinsoku/>
              <w:overflowPunct/>
              <w:topLinePunct w:val="0"/>
              <w:bidi w:val="0"/>
              <w:spacing w:line="480" w:lineRule="exact"/>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资金落实情况</w:t>
            </w:r>
          </w:p>
        </w:tc>
        <w:tc>
          <w:tcPr>
            <w:tcW w:w="5355" w:type="dxa"/>
            <w:tcBorders>
              <w:top w:val="single" w:color="auto" w:sz="4" w:space="0"/>
              <w:left w:val="nil"/>
              <w:bottom w:val="single" w:color="auto" w:sz="4" w:space="0"/>
              <w:right w:val="single" w:color="auto" w:sz="4" w:space="0"/>
            </w:tcBorders>
            <w:vAlign w:val="center"/>
          </w:tcPr>
          <w:p w14:paraId="527942DF">
            <w:pPr>
              <w:pageBreakBefore w:val="0"/>
              <w:widowControl/>
              <w:kinsoku/>
              <w:overflowPunct/>
              <w:topLinePunct w:val="0"/>
              <w:bidi w:val="0"/>
              <w:spacing w:line="480" w:lineRule="exact"/>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已落实</w:t>
            </w:r>
            <w:r>
              <w:rPr>
                <w:rFonts w:hint="eastAsia" w:ascii="宋体" w:hAnsi="宋体" w:eastAsia="宋体" w:cs="宋体"/>
                <w:color w:val="auto"/>
                <w:kern w:val="0"/>
                <w:sz w:val="24"/>
                <w:szCs w:val="24"/>
                <w:highlight w:val="none"/>
                <w:lang w:eastAsia="zh-CN"/>
              </w:rPr>
              <w:t>。</w:t>
            </w:r>
          </w:p>
        </w:tc>
      </w:tr>
      <w:tr w14:paraId="3EA350CD">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19BF7722">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2870" w:type="dxa"/>
            <w:tcBorders>
              <w:top w:val="single" w:color="auto" w:sz="4" w:space="0"/>
              <w:left w:val="nil"/>
              <w:bottom w:val="single" w:color="auto" w:sz="4" w:space="0"/>
              <w:right w:val="single" w:color="auto" w:sz="4" w:space="0"/>
            </w:tcBorders>
            <w:vAlign w:val="center"/>
          </w:tcPr>
          <w:p w14:paraId="6D3F52E9">
            <w:pPr>
              <w:pageBreakBefore w:val="0"/>
              <w:widowControl/>
              <w:kinsoku/>
              <w:overflowPunct/>
              <w:topLinePunct w:val="0"/>
              <w:bidi w:val="0"/>
              <w:spacing w:line="480" w:lineRule="exact"/>
              <w:jc w:val="center"/>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olor w:val="auto"/>
                <w:sz w:val="24"/>
                <w:szCs w:val="24"/>
                <w:highlight w:val="none"/>
              </w:rPr>
              <w:t>供货期</w:t>
            </w:r>
            <w:r>
              <w:rPr>
                <w:rFonts w:hint="eastAsia" w:ascii="宋体" w:hAnsi="宋体" w:eastAsia="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工期</w:t>
            </w:r>
          </w:p>
        </w:tc>
        <w:tc>
          <w:tcPr>
            <w:tcW w:w="5355" w:type="dxa"/>
            <w:tcBorders>
              <w:top w:val="single" w:color="auto" w:sz="4" w:space="0"/>
              <w:left w:val="nil"/>
              <w:bottom w:val="single" w:color="auto" w:sz="4" w:space="0"/>
              <w:right w:val="single" w:color="auto" w:sz="4" w:space="0"/>
            </w:tcBorders>
            <w:vAlign w:val="center"/>
          </w:tcPr>
          <w:p w14:paraId="34167AA9">
            <w:pPr>
              <w:pageBreakBefore w:val="0"/>
              <w:widowControl/>
              <w:kinsoku/>
              <w:overflowPunct/>
              <w:topLinePunct w:val="0"/>
              <w:bidi w:val="0"/>
              <w:spacing w:line="480" w:lineRule="exact"/>
              <w:outlineLvl w:val="9"/>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详见竞争性磋商公告</w:t>
            </w:r>
          </w:p>
        </w:tc>
      </w:tr>
      <w:tr w14:paraId="37FB2D0D">
        <w:tblPrEx>
          <w:tblCellMar>
            <w:top w:w="0" w:type="dxa"/>
            <w:left w:w="108" w:type="dxa"/>
            <w:bottom w:w="0" w:type="dxa"/>
            <w:right w:w="108" w:type="dxa"/>
          </w:tblCellMar>
        </w:tblPrEx>
        <w:trPr>
          <w:trHeight w:val="9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27500226">
            <w:pPr>
              <w:pageBreakBefore w:val="0"/>
              <w:kinsoku/>
              <w:overflowPunct/>
              <w:topLinePunct w:val="0"/>
              <w:bidi w:val="0"/>
              <w:spacing w:line="360" w:lineRule="auto"/>
              <w:jc w:val="center"/>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2870" w:type="dxa"/>
            <w:tcBorders>
              <w:top w:val="single" w:color="auto" w:sz="4" w:space="0"/>
              <w:left w:val="nil"/>
              <w:bottom w:val="single" w:color="auto" w:sz="4" w:space="0"/>
              <w:right w:val="single" w:color="auto" w:sz="4" w:space="0"/>
            </w:tcBorders>
            <w:vAlign w:val="center"/>
          </w:tcPr>
          <w:p w14:paraId="539EEED5">
            <w:pPr>
              <w:pageBreakBefore w:val="0"/>
              <w:kinsoku/>
              <w:overflowPunct/>
              <w:topLinePunct w:val="0"/>
              <w:bidi w:val="0"/>
              <w:spacing w:line="360" w:lineRule="auto"/>
              <w:jc w:val="center"/>
              <w:outlineLvl w:val="9"/>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质保期</w:t>
            </w:r>
          </w:p>
        </w:tc>
        <w:tc>
          <w:tcPr>
            <w:tcW w:w="5355" w:type="dxa"/>
            <w:tcBorders>
              <w:top w:val="single" w:color="auto" w:sz="4" w:space="0"/>
              <w:left w:val="nil"/>
              <w:bottom w:val="single" w:color="auto" w:sz="4" w:space="0"/>
              <w:right w:val="single" w:color="auto" w:sz="4" w:space="0"/>
            </w:tcBorders>
            <w:vAlign w:val="center"/>
          </w:tcPr>
          <w:p w14:paraId="614D4788">
            <w:pPr>
              <w:pageBreakBefore w:val="0"/>
              <w:kinsoku/>
              <w:overflowPunct/>
              <w:topLinePunct w:val="0"/>
              <w:bidi w:val="0"/>
              <w:spacing w:line="360" w:lineRule="auto"/>
              <w:outlineLvl w:val="9"/>
              <w:rPr>
                <w:rFonts w:hint="eastAsia" w:ascii="宋体" w:hAnsi="宋体" w:eastAsia="宋体"/>
                <w:color w:val="auto"/>
                <w:sz w:val="24"/>
                <w:szCs w:val="24"/>
                <w:highlight w:val="none"/>
              </w:rPr>
            </w:pPr>
            <w:r>
              <w:rPr>
                <w:rFonts w:hint="eastAsia" w:ascii="宋体" w:hAnsi="宋体" w:eastAsia="宋体" w:cs="宋体"/>
                <w:color w:val="auto"/>
                <w:kern w:val="0"/>
                <w:sz w:val="24"/>
                <w:szCs w:val="24"/>
                <w:highlight w:val="none"/>
                <w:lang w:val="en-US" w:eastAsia="zh-CN"/>
              </w:rPr>
              <w:t>详见竞争性磋商公告</w:t>
            </w:r>
          </w:p>
        </w:tc>
      </w:tr>
      <w:tr w14:paraId="32E4E871">
        <w:tblPrEx>
          <w:tblCellMar>
            <w:top w:w="0" w:type="dxa"/>
            <w:left w:w="108" w:type="dxa"/>
            <w:bottom w:w="0" w:type="dxa"/>
            <w:right w:w="108" w:type="dxa"/>
          </w:tblCellMar>
        </w:tblPrEx>
        <w:trPr>
          <w:trHeight w:val="9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374CDA0F">
            <w:pPr>
              <w:pageBreakBefore w:val="0"/>
              <w:kinsoku/>
              <w:overflowPunct/>
              <w:topLinePunct w:val="0"/>
              <w:bidi w:val="0"/>
              <w:spacing w:line="360" w:lineRule="auto"/>
              <w:jc w:val="center"/>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2870" w:type="dxa"/>
            <w:tcBorders>
              <w:top w:val="single" w:color="auto" w:sz="4" w:space="0"/>
              <w:left w:val="nil"/>
              <w:bottom w:val="single" w:color="auto" w:sz="4" w:space="0"/>
              <w:right w:val="single" w:color="auto" w:sz="4" w:space="0"/>
            </w:tcBorders>
            <w:vAlign w:val="center"/>
          </w:tcPr>
          <w:p w14:paraId="52476AEF">
            <w:pPr>
              <w:pageBreakBefore w:val="0"/>
              <w:kinsoku/>
              <w:overflowPunct/>
              <w:topLinePunct w:val="0"/>
              <w:bidi w:val="0"/>
              <w:spacing w:line="360" w:lineRule="auto"/>
              <w:jc w:val="center"/>
              <w:outlineLvl w:val="9"/>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质量要求</w:t>
            </w:r>
          </w:p>
        </w:tc>
        <w:tc>
          <w:tcPr>
            <w:tcW w:w="5355" w:type="dxa"/>
            <w:tcBorders>
              <w:top w:val="single" w:color="auto" w:sz="4" w:space="0"/>
              <w:left w:val="nil"/>
              <w:bottom w:val="single" w:color="auto" w:sz="4" w:space="0"/>
              <w:right w:val="single" w:color="auto" w:sz="4" w:space="0"/>
            </w:tcBorders>
            <w:vAlign w:val="center"/>
          </w:tcPr>
          <w:p w14:paraId="00443C96">
            <w:pPr>
              <w:pageBreakBefore w:val="0"/>
              <w:kinsoku/>
              <w:overflowPunct/>
              <w:topLinePunct w:val="0"/>
              <w:bidi w:val="0"/>
              <w:spacing w:line="360" w:lineRule="auto"/>
              <w:outlineLvl w:val="9"/>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合格，符合国家有关行业标准和相关法律法规规定</w:t>
            </w:r>
          </w:p>
        </w:tc>
      </w:tr>
      <w:tr w14:paraId="039FF924">
        <w:tblPrEx>
          <w:tblCellMar>
            <w:top w:w="0" w:type="dxa"/>
            <w:left w:w="108" w:type="dxa"/>
            <w:bottom w:w="0" w:type="dxa"/>
            <w:right w:w="108" w:type="dxa"/>
          </w:tblCellMar>
        </w:tblPrEx>
        <w:trPr>
          <w:trHeight w:val="9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6DCF3859">
            <w:pPr>
              <w:pageBreakBefore w:val="0"/>
              <w:kinsoku/>
              <w:overflowPunct/>
              <w:topLinePunct w:val="0"/>
              <w:bidi w:val="0"/>
              <w:spacing w:line="360" w:lineRule="auto"/>
              <w:jc w:val="center"/>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2870" w:type="dxa"/>
            <w:tcBorders>
              <w:top w:val="single" w:color="auto" w:sz="4" w:space="0"/>
              <w:left w:val="nil"/>
              <w:bottom w:val="single" w:color="auto" w:sz="4" w:space="0"/>
              <w:right w:val="single" w:color="auto" w:sz="4" w:space="0"/>
            </w:tcBorders>
            <w:vAlign w:val="center"/>
          </w:tcPr>
          <w:p w14:paraId="1D02D39A">
            <w:pPr>
              <w:pageBreakBefore w:val="0"/>
              <w:kinsoku/>
              <w:overflowPunct/>
              <w:topLinePunct w:val="0"/>
              <w:bidi w:val="0"/>
              <w:spacing w:line="360" w:lineRule="auto"/>
              <w:jc w:val="center"/>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供货地点</w:t>
            </w:r>
          </w:p>
        </w:tc>
        <w:tc>
          <w:tcPr>
            <w:tcW w:w="5355" w:type="dxa"/>
            <w:tcBorders>
              <w:top w:val="single" w:color="auto" w:sz="4" w:space="0"/>
              <w:left w:val="nil"/>
              <w:bottom w:val="single" w:color="auto" w:sz="4" w:space="0"/>
              <w:right w:val="single" w:color="auto" w:sz="4" w:space="0"/>
            </w:tcBorders>
            <w:vAlign w:val="center"/>
          </w:tcPr>
          <w:p w14:paraId="0D6CC043">
            <w:pPr>
              <w:pageBreakBefore w:val="0"/>
              <w:kinsoku/>
              <w:overflowPunct/>
              <w:topLinePunct w:val="0"/>
              <w:bidi w:val="0"/>
              <w:spacing w:line="360" w:lineRule="auto"/>
              <w:outlineLvl w:val="9"/>
              <w:rPr>
                <w:rFonts w:hint="eastAsia" w:ascii="宋体" w:hAnsi="宋体" w:eastAsia="宋体" w:cs="宋体"/>
                <w:color w:val="auto"/>
                <w:sz w:val="24"/>
                <w:szCs w:val="24"/>
                <w:highlight w:val="none"/>
              </w:rPr>
            </w:pPr>
            <w:r>
              <w:rPr>
                <w:rFonts w:hint="eastAsia" w:ascii="宋体" w:hAnsi="宋体" w:cs="宋体"/>
                <w:color w:val="auto"/>
                <w:kern w:val="0"/>
                <w:sz w:val="24"/>
                <w:highlight w:val="none"/>
                <w:shd w:val="clear" w:color="auto" w:fill="FFFFFF" w:themeFill="background1"/>
                <w:lang w:val="en-US" w:eastAsia="zh-CN"/>
              </w:rPr>
              <w:t>采购人指定地点。</w:t>
            </w:r>
          </w:p>
        </w:tc>
      </w:tr>
      <w:tr w14:paraId="5E7D0FD0">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13C4AE9C">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p>
        </w:tc>
        <w:tc>
          <w:tcPr>
            <w:tcW w:w="2870" w:type="dxa"/>
            <w:tcBorders>
              <w:top w:val="single" w:color="auto" w:sz="4" w:space="0"/>
              <w:left w:val="nil"/>
              <w:bottom w:val="single" w:color="auto" w:sz="4" w:space="0"/>
              <w:right w:val="single" w:color="auto" w:sz="4" w:space="0"/>
            </w:tcBorders>
            <w:vAlign w:val="center"/>
          </w:tcPr>
          <w:p w14:paraId="669A7B01">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lang w:val="en-US" w:eastAsia="zh-CN"/>
              </w:rPr>
              <w:t>资格要求</w:t>
            </w:r>
          </w:p>
        </w:tc>
        <w:tc>
          <w:tcPr>
            <w:tcW w:w="5355" w:type="dxa"/>
            <w:tcBorders>
              <w:top w:val="single" w:color="auto" w:sz="4" w:space="0"/>
              <w:left w:val="nil"/>
              <w:bottom w:val="single" w:color="auto" w:sz="4" w:space="0"/>
              <w:right w:val="single" w:color="auto" w:sz="4" w:space="0"/>
            </w:tcBorders>
            <w:vAlign w:val="center"/>
          </w:tcPr>
          <w:p w14:paraId="66D99199">
            <w:pPr>
              <w:keepNext w:val="0"/>
              <w:keepLines w:val="0"/>
              <w:pageBreakBefore w:val="0"/>
              <w:kinsoku/>
              <w:wordWrap/>
              <w:overflowPunct/>
              <w:topLinePunct w:val="0"/>
              <w:bidi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一标段、二标段供应商资格要求：</w:t>
            </w:r>
          </w:p>
          <w:p w14:paraId="09DCE566">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1.供应商参加本次采购活动必须符合《中华人民共和国政府采购法》第二十二条的规定，需提供相应内容的承诺函。</w:t>
            </w:r>
          </w:p>
          <w:p w14:paraId="77E0F3F2">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供应商须具备独立法人资格，具有有效的营业执照</w:t>
            </w:r>
            <w:r>
              <w:rPr>
                <w:rFonts w:hint="eastAsia" w:ascii="宋体" w:hAnsi="宋体" w:eastAsia="宋体" w:cs="宋体"/>
                <w:color w:val="auto"/>
                <w:sz w:val="24"/>
                <w:szCs w:val="24"/>
                <w:highlight w:val="none"/>
                <w:lang w:val="en-US" w:eastAsia="zh-CN"/>
              </w:rPr>
              <w:t>；</w:t>
            </w:r>
          </w:p>
          <w:p w14:paraId="2965B808">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供应商须自行出具本单位无商业贿赂及无不正当竞争行为的承诺书</w:t>
            </w:r>
            <w:r>
              <w:rPr>
                <w:rFonts w:hint="eastAsia" w:ascii="宋体" w:hAnsi="宋体" w:eastAsia="宋体" w:cs="宋体"/>
                <w:color w:val="auto"/>
                <w:sz w:val="24"/>
                <w:szCs w:val="24"/>
                <w:highlight w:val="none"/>
                <w:lang w:val="en-US" w:eastAsia="zh-CN"/>
              </w:rPr>
              <w:t>（承诺书格式自拟）；</w:t>
            </w:r>
          </w:p>
          <w:p w14:paraId="139BE1E1">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查询渠道：①中国执行信息公开网（http://zxgk.court.gov.cn）查询内容：失信被执行人；②“信用中国”网站（</w:t>
            </w:r>
            <w:r>
              <w:rPr>
                <w:rFonts w:hint="eastAsia" w:ascii="宋体" w:hAnsi="宋体" w:eastAsia="宋体" w:cs="宋体"/>
                <w:sz w:val="24"/>
                <w:highlight w:val="none"/>
                <w:lang w:val="en-US" w:eastAsia="zh-CN"/>
              </w:rPr>
              <w:t>https://www.creditchina.gov.cn/zhuanxiangchaxun/</w:t>
            </w:r>
            <w:r>
              <w:rPr>
                <w:rFonts w:hint="eastAsia" w:ascii="宋体" w:hAnsi="宋体" w:eastAsia="宋体" w:cs="宋体"/>
                <w:color w:val="auto"/>
                <w:sz w:val="24"/>
                <w:szCs w:val="24"/>
                <w:highlight w:val="none"/>
                <w:lang w:val="en-US" w:eastAsia="zh-CN"/>
              </w:rPr>
              <w:t>），查询内容：重大税收违法失信主体；③中国政府采购网（www.ccgp.gov.cn）查询内容：政府采购严重违法失信行为记录名单。供应商须提供中国执行信息公开网查询页、信用中国查询页、中国政府采购网查询页的查询结果截图，查询日期为本公告发布之日起，网站截图应含有日期且显示查询结果；</w:t>
            </w:r>
          </w:p>
          <w:p w14:paraId="727EB870">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单位负责人为同一人或者存在直接控股、管理关系的不同供应商，不得同时参加本次采购活动，须提供国家企业信用信息公示系统（网址http://www.gsxt.gov.cn/）公示的企业信息网页截图，至少应包含股东信息，查询日期为本公告发布之日起，网站截图应含有日期且显示查询结果；</w:t>
            </w:r>
          </w:p>
          <w:p w14:paraId="5EE384DD">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6.</w:t>
            </w:r>
            <w:r>
              <w:rPr>
                <w:rFonts w:hint="eastAsia" w:ascii="宋体" w:hAnsi="宋体" w:eastAsia="宋体" w:cs="宋体"/>
                <w:sz w:val="24"/>
                <w:szCs w:val="24"/>
                <w:highlight w:val="none"/>
              </w:rPr>
              <w:t>本项目不接受联合体磋商</w:t>
            </w:r>
            <w:r>
              <w:rPr>
                <w:rFonts w:hint="eastAsia" w:ascii="宋体" w:hAnsi="宋体" w:eastAsia="宋体" w:cs="宋体"/>
                <w:sz w:val="24"/>
                <w:szCs w:val="24"/>
                <w:highlight w:val="none"/>
                <w:lang w:eastAsia="zh-CN"/>
              </w:rPr>
              <w:t>，</w:t>
            </w:r>
            <w:r>
              <w:rPr>
                <w:rFonts w:hint="eastAsia"/>
                <w:sz w:val="24"/>
                <w:szCs w:val="24"/>
                <w:highlight w:val="none"/>
                <w:lang w:val="en-US" w:eastAsia="zh-CN"/>
              </w:rPr>
              <w:t>供应商须提供非联合体承诺书（承诺书格式自拟）</w:t>
            </w:r>
            <w:r>
              <w:rPr>
                <w:rFonts w:hint="eastAsia" w:ascii="宋体" w:hAnsi="宋体" w:eastAsia="宋体" w:cs="宋体"/>
                <w:color w:val="auto"/>
                <w:sz w:val="24"/>
                <w:szCs w:val="24"/>
                <w:highlight w:val="none"/>
                <w:lang w:val="en-US" w:eastAsia="zh-CN"/>
              </w:rPr>
              <w:t>。</w:t>
            </w:r>
          </w:p>
          <w:p w14:paraId="610EB2C3">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三标段供应商资格要求：</w:t>
            </w:r>
          </w:p>
          <w:p w14:paraId="1979215C">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供应商须具备独立法人资格，具有有效的营业执照；</w:t>
            </w:r>
          </w:p>
          <w:p w14:paraId="4BC964A5">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供应商须具备建设行政主管部门颁发的建筑工程施工总承包贰级（含贰级）或其以上资质，且具有有效的安全生产许可证；</w:t>
            </w:r>
          </w:p>
          <w:p w14:paraId="50335255">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拟派项目经理须具备</w:t>
            </w:r>
            <w:r>
              <w:rPr>
                <w:rFonts w:hint="eastAsia" w:ascii="宋体" w:hAnsi="宋体" w:eastAsia="宋体" w:cs="宋体"/>
                <w:color w:val="auto"/>
                <w:sz w:val="24"/>
                <w:szCs w:val="24"/>
                <w:highlight w:val="none"/>
                <w:lang w:eastAsia="zh-CN"/>
              </w:rPr>
              <w:t>建筑</w:t>
            </w:r>
            <w:r>
              <w:rPr>
                <w:rFonts w:hint="eastAsia" w:ascii="宋体" w:hAnsi="宋体" w:eastAsia="宋体" w:cs="宋体"/>
                <w:color w:val="auto"/>
                <w:sz w:val="24"/>
                <w:szCs w:val="24"/>
                <w:highlight w:val="none"/>
              </w:rPr>
              <w:t>工程专业贰级及以上注册建造师执业资格证书（不含临时），有效的安全生产考核合格证书，为本单位员工，并具有劳动合同及养老保险缴费证明，</w:t>
            </w:r>
            <w:r>
              <w:rPr>
                <w:rFonts w:hint="eastAsia" w:ascii="宋体" w:hAnsi="宋体" w:eastAsia="宋体" w:cs="宋体"/>
                <w:color w:val="auto"/>
                <w:sz w:val="24"/>
                <w:szCs w:val="24"/>
                <w:highlight w:val="none"/>
                <w:lang w:eastAsia="zh-CN"/>
              </w:rPr>
              <w:t>出具</w:t>
            </w:r>
            <w:r>
              <w:rPr>
                <w:rFonts w:hint="eastAsia" w:ascii="宋体" w:hAnsi="宋体" w:eastAsia="宋体" w:cs="宋体"/>
                <w:color w:val="auto"/>
                <w:sz w:val="24"/>
                <w:szCs w:val="24"/>
                <w:highlight w:val="none"/>
              </w:rPr>
              <w:t>无在建工程承诺书</w:t>
            </w:r>
            <w:r>
              <w:rPr>
                <w:rFonts w:hint="eastAsia" w:ascii="宋体" w:hAnsi="宋体" w:eastAsia="宋体" w:cs="宋体"/>
                <w:color w:val="auto"/>
                <w:sz w:val="24"/>
                <w:szCs w:val="24"/>
                <w:highlight w:val="none"/>
                <w:lang w:val="en-US" w:eastAsia="zh-CN"/>
              </w:rPr>
              <w:t>；</w:t>
            </w:r>
          </w:p>
          <w:p w14:paraId="08E44D84">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供应商须自行出具本单位无商业贿赂及无不正当竞争行为的承诺书</w:t>
            </w:r>
            <w:r>
              <w:rPr>
                <w:rFonts w:hint="eastAsia" w:ascii="宋体" w:hAnsi="宋体" w:eastAsia="宋体" w:cs="宋体"/>
                <w:color w:val="auto"/>
                <w:sz w:val="24"/>
                <w:szCs w:val="24"/>
                <w:highlight w:val="none"/>
                <w:lang w:val="en-US" w:eastAsia="zh-CN"/>
              </w:rPr>
              <w:t>（承诺书格式自拟）</w:t>
            </w:r>
            <w:r>
              <w:rPr>
                <w:rFonts w:hint="eastAsia" w:ascii="宋体" w:hAnsi="宋体" w:eastAsia="宋体" w:cs="宋体"/>
                <w:color w:val="auto"/>
                <w:sz w:val="24"/>
                <w:szCs w:val="24"/>
                <w:highlight w:val="none"/>
                <w:lang w:eastAsia="zh-CN"/>
              </w:rPr>
              <w:t>；</w:t>
            </w:r>
          </w:p>
          <w:p w14:paraId="146E313A">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查询渠道：①中国执行信息公开网（http://zxgk.court.gov.cn）查询内容：失信被执行人；②“信用中国”网站（</w:t>
            </w:r>
            <w:r>
              <w:rPr>
                <w:rFonts w:hint="eastAsia" w:ascii="宋体" w:hAnsi="宋体" w:eastAsia="宋体" w:cs="宋体"/>
                <w:sz w:val="24"/>
                <w:highlight w:val="none"/>
                <w:lang w:val="en-US" w:eastAsia="zh-CN"/>
              </w:rPr>
              <w:t>https://www.creditchina.gov.cn/zhuanxiangchaxun/</w:t>
            </w:r>
            <w:r>
              <w:rPr>
                <w:rFonts w:hint="eastAsia" w:ascii="宋体" w:hAnsi="宋体" w:eastAsia="宋体" w:cs="宋体"/>
                <w:color w:val="auto"/>
                <w:sz w:val="24"/>
                <w:szCs w:val="24"/>
                <w:highlight w:val="none"/>
                <w:lang w:val="en-US" w:eastAsia="zh-CN"/>
              </w:rPr>
              <w:t>），查询内容：重大税收违法失信主体；③中国政府采购网（www.ccgp.gov.cn）查询内容：政府采购严重违法失信行为记录名单。供应商须提供中国执行信息公开网查询页、信用中国查询页、中国政府采购网查询页的查询结果截图，查询日期为本公告发布之日起，网站截图应含有日期且显示查询结果；</w:t>
            </w:r>
          </w:p>
          <w:p w14:paraId="5CFB2653">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单位负责人为同一人或者存在直接控股、管理关系的不同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，不得同时参加本次</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活动，须提供国家企业信用信息公示系统（网址http://www.gsxt.gov.cn/）公示的企业信息网页截图，至少应包含股东信息，查询日期为本公告发布之日起，网站截图应含有日期且显示查询结果；</w:t>
            </w:r>
          </w:p>
          <w:p w14:paraId="70F39C1A">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sz w:val="24"/>
                <w:szCs w:val="24"/>
                <w:highlight w:val="none"/>
              </w:rPr>
              <w:t>本项目不接受联合体磋商</w:t>
            </w:r>
            <w:r>
              <w:rPr>
                <w:rFonts w:hint="eastAsia" w:ascii="宋体" w:hAnsi="宋体" w:eastAsia="宋体" w:cs="宋体"/>
                <w:sz w:val="24"/>
                <w:szCs w:val="24"/>
                <w:highlight w:val="none"/>
                <w:lang w:eastAsia="zh-CN"/>
              </w:rPr>
              <w:t>，</w:t>
            </w:r>
            <w:r>
              <w:rPr>
                <w:rFonts w:hint="eastAsia"/>
                <w:sz w:val="24"/>
                <w:szCs w:val="24"/>
                <w:highlight w:val="none"/>
                <w:lang w:val="en-US" w:eastAsia="zh-CN"/>
              </w:rPr>
              <w:t>供应商须提供非联合体承诺书（承诺书格式自拟）</w:t>
            </w:r>
            <w:r>
              <w:rPr>
                <w:rFonts w:hint="eastAsia" w:ascii="宋体" w:hAnsi="宋体" w:eastAsia="宋体" w:cs="宋体"/>
                <w:color w:val="auto"/>
                <w:sz w:val="24"/>
                <w:szCs w:val="24"/>
                <w:highlight w:val="none"/>
                <w:lang w:val="en-US" w:eastAsia="zh-CN"/>
              </w:rPr>
              <w:t>。</w:t>
            </w:r>
          </w:p>
        </w:tc>
      </w:tr>
      <w:tr w14:paraId="467159C9">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4DA0570C">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p>
        </w:tc>
        <w:tc>
          <w:tcPr>
            <w:tcW w:w="2870" w:type="dxa"/>
            <w:tcBorders>
              <w:top w:val="single" w:color="auto" w:sz="4" w:space="0"/>
              <w:left w:val="nil"/>
              <w:bottom w:val="single" w:color="auto" w:sz="4" w:space="0"/>
              <w:right w:val="single" w:color="auto" w:sz="4" w:space="0"/>
            </w:tcBorders>
            <w:vAlign w:val="center"/>
          </w:tcPr>
          <w:p w14:paraId="3BDAE225">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踏勘现场</w:t>
            </w:r>
          </w:p>
        </w:tc>
        <w:tc>
          <w:tcPr>
            <w:tcW w:w="5355" w:type="dxa"/>
            <w:tcBorders>
              <w:top w:val="single" w:color="auto" w:sz="4" w:space="0"/>
              <w:left w:val="nil"/>
              <w:bottom w:val="single" w:color="auto" w:sz="4" w:space="0"/>
              <w:right w:val="single" w:color="auto" w:sz="4" w:space="0"/>
            </w:tcBorders>
            <w:vAlign w:val="center"/>
          </w:tcPr>
          <w:p w14:paraId="39C2F1B5">
            <w:pPr>
              <w:pageBreakBefore w:val="0"/>
              <w:kinsoku/>
              <w:overflowPunct/>
              <w:topLinePunct w:val="0"/>
              <w:bidi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自行踏勘</w:t>
            </w:r>
          </w:p>
        </w:tc>
      </w:tr>
      <w:tr w14:paraId="3AC92F8E">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5791C64F">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p>
        </w:tc>
        <w:tc>
          <w:tcPr>
            <w:tcW w:w="2870" w:type="dxa"/>
            <w:tcBorders>
              <w:top w:val="single" w:color="auto" w:sz="4" w:space="0"/>
              <w:left w:val="nil"/>
              <w:bottom w:val="single" w:color="auto" w:sz="4" w:space="0"/>
              <w:right w:val="single" w:color="auto" w:sz="4" w:space="0"/>
            </w:tcBorders>
            <w:vAlign w:val="center"/>
          </w:tcPr>
          <w:p w14:paraId="4BD13769">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提出问题的截止时间</w:t>
            </w:r>
          </w:p>
        </w:tc>
        <w:tc>
          <w:tcPr>
            <w:tcW w:w="5355" w:type="dxa"/>
            <w:tcBorders>
              <w:top w:val="single" w:color="auto" w:sz="4" w:space="0"/>
              <w:left w:val="nil"/>
              <w:bottom w:val="single" w:color="auto" w:sz="4" w:space="0"/>
              <w:right w:val="single" w:color="auto" w:sz="4" w:space="0"/>
            </w:tcBorders>
            <w:vAlign w:val="center"/>
          </w:tcPr>
          <w:p w14:paraId="7D49D2E8">
            <w:pPr>
              <w:pageBreakBefore w:val="0"/>
              <w:kinsoku/>
              <w:overflowPunct/>
              <w:topLinePunct w:val="0"/>
              <w:bidi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响应性文件递交截止时间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rPr>
              <w:t>前</w:t>
            </w:r>
          </w:p>
        </w:tc>
      </w:tr>
      <w:tr w14:paraId="0585989A">
        <w:tblPrEx>
          <w:tblCellMar>
            <w:top w:w="0" w:type="dxa"/>
            <w:left w:w="108" w:type="dxa"/>
            <w:bottom w:w="0" w:type="dxa"/>
            <w:right w:w="108" w:type="dxa"/>
          </w:tblCellMar>
        </w:tblPrEx>
        <w:trPr>
          <w:trHeight w:val="563"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699C7A7D">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p>
        </w:tc>
        <w:tc>
          <w:tcPr>
            <w:tcW w:w="2870" w:type="dxa"/>
            <w:tcBorders>
              <w:top w:val="single" w:color="auto" w:sz="4" w:space="0"/>
              <w:left w:val="nil"/>
              <w:bottom w:val="single" w:color="auto" w:sz="4" w:space="0"/>
              <w:right w:val="single" w:color="auto" w:sz="4" w:space="0"/>
            </w:tcBorders>
            <w:vAlign w:val="center"/>
          </w:tcPr>
          <w:p w14:paraId="64315862">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书面澄清的时间</w:t>
            </w:r>
          </w:p>
        </w:tc>
        <w:tc>
          <w:tcPr>
            <w:tcW w:w="5355" w:type="dxa"/>
            <w:tcBorders>
              <w:top w:val="single" w:color="auto" w:sz="4" w:space="0"/>
              <w:left w:val="nil"/>
              <w:bottom w:val="single" w:color="auto" w:sz="4" w:space="0"/>
              <w:right w:val="single" w:color="auto" w:sz="4" w:space="0"/>
            </w:tcBorders>
            <w:vAlign w:val="center"/>
          </w:tcPr>
          <w:p w14:paraId="68C595DC">
            <w:pPr>
              <w:pageBreakBefore w:val="0"/>
              <w:kinsoku/>
              <w:overflowPunct/>
              <w:topLinePunct w:val="0"/>
              <w:bidi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响应性文件递交截止时间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rPr>
              <w:t>前</w:t>
            </w:r>
          </w:p>
        </w:tc>
      </w:tr>
      <w:tr w14:paraId="34D873E2">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27CE2C6D">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p>
        </w:tc>
        <w:tc>
          <w:tcPr>
            <w:tcW w:w="2870" w:type="dxa"/>
            <w:tcBorders>
              <w:top w:val="single" w:color="auto" w:sz="4" w:space="0"/>
              <w:left w:val="nil"/>
              <w:bottom w:val="single" w:color="auto" w:sz="4" w:space="0"/>
              <w:right w:val="single" w:color="auto" w:sz="4" w:space="0"/>
            </w:tcBorders>
            <w:vAlign w:val="center"/>
          </w:tcPr>
          <w:p w14:paraId="59D677D5">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w:t>
            </w:r>
          </w:p>
        </w:tc>
        <w:tc>
          <w:tcPr>
            <w:tcW w:w="5355" w:type="dxa"/>
            <w:tcBorders>
              <w:top w:val="single" w:color="auto" w:sz="4" w:space="0"/>
              <w:left w:val="nil"/>
              <w:bottom w:val="single" w:color="auto" w:sz="4" w:space="0"/>
              <w:right w:val="single" w:color="auto" w:sz="4" w:space="0"/>
            </w:tcBorders>
            <w:vAlign w:val="center"/>
          </w:tcPr>
          <w:p w14:paraId="5702FF56">
            <w:pPr>
              <w:pageBreakBefore w:val="0"/>
              <w:kinsoku/>
              <w:overflowPunct/>
              <w:topLinePunct w:val="0"/>
              <w:bidi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w:t>
            </w:r>
          </w:p>
        </w:tc>
      </w:tr>
      <w:tr w14:paraId="6D05FF1C">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1CAEE312">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p>
        </w:tc>
        <w:tc>
          <w:tcPr>
            <w:tcW w:w="2870" w:type="dxa"/>
            <w:tcBorders>
              <w:top w:val="single" w:color="auto" w:sz="4" w:space="0"/>
              <w:left w:val="nil"/>
              <w:bottom w:val="single" w:color="auto" w:sz="4" w:space="0"/>
              <w:right w:val="single" w:color="auto" w:sz="4" w:space="0"/>
            </w:tcBorders>
            <w:vAlign w:val="center"/>
          </w:tcPr>
          <w:p w14:paraId="3393ACDE">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tc>
        <w:tc>
          <w:tcPr>
            <w:tcW w:w="5355" w:type="dxa"/>
            <w:tcBorders>
              <w:top w:val="single" w:color="auto" w:sz="4" w:space="0"/>
              <w:left w:val="nil"/>
              <w:bottom w:val="single" w:color="auto" w:sz="4" w:space="0"/>
              <w:right w:val="single" w:color="auto" w:sz="4" w:space="0"/>
            </w:tcBorders>
            <w:vAlign w:val="center"/>
          </w:tcPr>
          <w:p w14:paraId="29AB774A">
            <w:pPr>
              <w:pageBreakBefore w:val="0"/>
              <w:kinsoku/>
              <w:overflowPunct/>
              <w:topLinePunct w:val="0"/>
              <w:bidi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w:t>
            </w:r>
          </w:p>
        </w:tc>
      </w:tr>
      <w:tr w14:paraId="0B0970C8">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7B1CF196">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9</w:t>
            </w:r>
          </w:p>
        </w:tc>
        <w:tc>
          <w:tcPr>
            <w:tcW w:w="2870" w:type="dxa"/>
            <w:tcBorders>
              <w:top w:val="single" w:color="auto" w:sz="4" w:space="0"/>
              <w:left w:val="nil"/>
              <w:bottom w:val="single" w:color="auto" w:sz="4" w:space="0"/>
              <w:right w:val="single" w:color="auto" w:sz="4" w:space="0"/>
            </w:tcBorders>
            <w:vAlign w:val="center"/>
          </w:tcPr>
          <w:p w14:paraId="42E7AE0F">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响应性文件递交截止时间</w:t>
            </w:r>
          </w:p>
        </w:tc>
        <w:tc>
          <w:tcPr>
            <w:tcW w:w="5355" w:type="dxa"/>
            <w:tcBorders>
              <w:top w:val="single" w:color="auto" w:sz="4" w:space="0"/>
              <w:left w:val="nil"/>
              <w:bottom w:val="single" w:color="auto" w:sz="4" w:space="0"/>
              <w:right w:val="single" w:color="auto" w:sz="4" w:space="0"/>
            </w:tcBorders>
            <w:vAlign w:val="center"/>
          </w:tcPr>
          <w:p w14:paraId="26546B72">
            <w:pPr>
              <w:pageBreakBefore w:val="0"/>
              <w:kinsoku/>
              <w:overflowPunct/>
              <w:topLinePunct w:val="0"/>
              <w:bidi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08</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r>
      <w:tr w14:paraId="44EA0E50">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1199673E">
            <w:pPr>
              <w:pageBreakBefore w:val="0"/>
              <w:kinsoku/>
              <w:overflowPunct/>
              <w:topLinePunct w:val="0"/>
              <w:bidi w:val="0"/>
              <w:spacing w:line="360" w:lineRule="auto"/>
              <w:jc w:val="center"/>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2870" w:type="dxa"/>
            <w:tcBorders>
              <w:top w:val="single" w:color="auto" w:sz="4" w:space="0"/>
              <w:left w:val="nil"/>
              <w:bottom w:val="single" w:color="auto" w:sz="4" w:space="0"/>
              <w:right w:val="single" w:color="auto" w:sz="4" w:space="0"/>
            </w:tcBorders>
            <w:vAlign w:val="center"/>
          </w:tcPr>
          <w:p w14:paraId="2C48E31B">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确认收到磋商文件的澄清时间</w:t>
            </w:r>
          </w:p>
        </w:tc>
        <w:tc>
          <w:tcPr>
            <w:tcW w:w="5355" w:type="dxa"/>
            <w:tcBorders>
              <w:top w:val="single" w:color="auto" w:sz="4" w:space="0"/>
              <w:left w:val="nil"/>
              <w:bottom w:val="single" w:color="auto" w:sz="4" w:space="0"/>
              <w:right w:val="single" w:color="auto" w:sz="4" w:space="0"/>
            </w:tcBorders>
            <w:vAlign w:val="center"/>
          </w:tcPr>
          <w:p w14:paraId="6B598123">
            <w:pPr>
              <w:pageBreakBefore w:val="0"/>
              <w:kinsoku/>
              <w:overflowPunct/>
              <w:topLinePunct w:val="0"/>
              <w:bidi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收到澄清后24小时内（以发出时间为准）</w:t>
            </w:r>
          </w:p>
        </w:tc>
      </w:tr>
      <w:tr w14:paraId="57081D06">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19E8E8DD">
            <w:pPr>
              <w:pageBreakBefore w:val="0"/>
              <w:kinsoku/>
              <w:overflowPunct/>
              <w:topLinePunct w:val="0"/>
              <w:bidi w:val="0"/>
              <w:spacing w:line="360" w:lineRule="auto"/>
              <w:jc w:val="center"/>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c>
          <w:tcPr>
            <w:tcW w:w="2870" w:type="dxa"/>
            <w:tcBorders>
              <w:top w:val="single" w:color="auto" w:sz="4" w:space="0"/>
              <w:left w:val="nil"/>
              <w:bottom w:val="single" w:color="auto" w:sz="4" w:space="0"/>
              <w:right w:val="single" w:color="auto" w:sz="4" w:space="0"/>
            </w:tcBorders>
            <w:vAlign w:val="center"/>
          </w:tcPr>
          <w:p w14:paraId="45490ADB">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确认收到磋商文件的修改时间</w:t>
            </w:r>
          </w:p>
        </w:tc>
        <w:tc>
          <w:tcPr>
            <w:tcW w:w="5355" w:type="dxa"/>
            <w:tcBorders>
              <w:top w:val="single" w:color="auto" w:sz="4" w:space="0"/>
              <w:left w:val="nil"/>
              <w:bottom w:val="single" w:color="auto" w:sz="4" w:space="0"/>
              <w:right w:val="single" w:color="auto" w:sz="4" w:space="0"/>
            </w:tcBorders>
            <w:vAlign w:val="center"/>
          </w:tcPr>
          <w:p w14:paraId="704C0F8E">
            <w:pPr>
              <w:pageBreakBefore w:val="0"/>
              <w:kinsoku/>
              <w:overflowPunct/>
              <w:topLinePunct w:val="0"/>
              <w:bidi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收到澄清后24小时内（以发出时间为准）</w:t>
            </w:r>
          </w:p>
        </w:tc>
      </w:tr>
      <w:tr w14:paraId="247AD8FB">
        <w:tblPrEx>
          <w:tblCellMar>
            <w:top w:w="0" w:type="dxa"/>
            <w:left w:w="108" w:type="dxa"/>
            <w:bottom w:w="0" w:type="dxa"/>
            <w:right w:w="108" w:type="dxa"/>
          </w:tblCellMar>
        </w:tblPrEx>
        <w:trPr>
          <w:trHeight w:val="59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15014CE8">
            <w:pPr>
              <w:pageBreakBefore w:val="0"/>
              <w:kinsoku/>
              <w:overflowPunct/>
              <w:topLinePunct w:val="0"/>
              <w:bidi w:val="0"/>
              <w:spacing w:line="360" w:lineRule="auto"/>
              <w:jc w:val="center"/>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2870" w:type="dxa"/>
            <w:tcBorders>
              <w:top w:val="single" w:color="auto" w:sz="4" w:space="0"/>
              <w:left w:val="nil"/>
              <w:bottom w:val="single" w:color="auto" w:sz="4" w:space="0"/>
              <w:right w:val="single" w:color="auto" w:sz="4" w:space="0"/>
            </w:tcBorders>
            <w:vAlign w:val="center"/>
          </w:tcPr>
          <w:p w14:paraId="08134E16">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磋商有效期</w:t>
            </w:r>
          </w:p>
        </w:tc>
        <w:tc>
          <w:tcPr>
            <w:tcW w:w="5355" w:type="dxa"/>
            <w:tcBorders>
              <w:top w:val="single" w:color="auto" w:sz="4" w:space="0"/>
              <w:left w:val="nil"/>
              <w:bottom w:val="single" w:color="auto" w:sz="4" w:space="0"/>
              <w:right w:val="single" w:color="auto" w:sz="4" w:space="0"/>
            </w:tcBorders>
            <w:vAlign w:val="center"/>
          </w:tcPr>
          <w:p w14:paraId="0F1C4DA9">
            <w:pPr>
              <w:pageBreakBefore w:val="0"/>
              <w:kinsoku/>
              <w:overflowPunct/>
              <w:topLinePunct w:val="0"/>
              <w:bidi w:val="0"/>
              <w:spacing w:line="360" w:lineRule="auto"/>
              <w:outlineLvl w:val="9"/>
              <w:rPr>
                <w:rFonts w:hint="eastAsia" w:ascii="宋体" w:hAnsi="宋体" w:eastAsia="宋体" w:cs="宋体"/>
                <w:color w:val="auto"/>
                <w:sz w:val="24"/>
                <w:szCs w:val="24"/>
                <w:highlight w:val="none"/>
              </w:rPr>
            </w:pPr>
            <w:r>
              <w:rPr>
                <w:rFonts w:hint="eastAsia" w:ascii="宋体" w:hAnsi="宋体" w:cs="宋体"/>
                <w:color w:val="auto"/>
                <w:kern w:val="10"/>
                <w:sz w:val="24"/>
                <w:szCs w:val="24"/>
                <w:highlight w:val="none"/>
              </w:rPr>
              <w:t>提交响应文件截止时间后</w:t>
            </w:r>
            <w:r>
              <w:rPr>
                <w:rFonts w:hint="eastAsia" w:ascii="宋体" w:hAnsi="宋体" w:cs="宋体"/>
                <w:color w:val="auto"/>
                <w:kern w:val="10"/>
                <w:sz w:val="24"/>
                <w:szCs w:val="24"/>
                <w:highlight w:val="none"/>
                <w:lang w:val="en-US" w:eastAsia="zh-CN"/>
              </w:rPr>
              <w:t>60</w:t>
            </w:r>
            <w:r>
              <w:rPr>
                <w:rFonts w:hint="eastAsia" w:ascii="宋体" w:hAnsi="宋体" w:cs="宋体"/>
                <w:color w:val="auto"/>
                <w:kern w:val="10"/>
                <w:sz w:val="24"/>
                <w:szCs w:val="24"/>
                <w:highlight w:val="none"/>
              </w:rPr>
              <w:t>日历天，有效期短于该期限的</w:t>
            </w:r>
            <w:r>
              <w:rPr>
                <w:rFonts w:hint="eastAsia" w:ascii="宋体" w:hAnsi="宋体" w:cs="宋体"/>
                <w:color w:val="auto"/>
                <w:spacing w:val="-11"/>
                <w:sz w:val="24"/>
                <w:szCs w:val="24"/>
                <w:highlight w:val="none"/>
              </w:rPr>
              <w:t>响应文件</w:t>
            </w:r>
            <w:r>
              <w:rPr>
                <w:rFonts w:hint="eastAsia" w:ascii="宋体" w:hAnsi="宋体" w:cs="宋体"/>
                <w:color w:val="auto"/>
                <w:kern w:val="10"/>
                <w:sz w:val="24"/>
                <w:szCs w:val="24"/>
                <w:highlight w:val="none"/>
              </w:rPr>
              <w:t>将被拒绝。</w:t>
            </w:r>
          </w:p>
        </w:tc>
      </w:tr>
      <w:tr w14:paraId="6864AC65">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3EA1A00C">
            <w:pPr>
              <w:pageBreakBefore w:val="0"/>
              <w:kinsoku/>
              <w:overflowPunct/>
              <w:topLinePunct w:val="0"/>
              <w:bidi w:val="0"/>
              <w:spacing w:line="360" w:lineRule="auto"/>
              <w:jc w:val="center"/>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2870" w:type="dxa"/>
            <w:tcBorders>
              <w:top w:val="single" w:color="auto" w:sz="4" w:space="0"/>
              <w:left w:val="nil"/>
              <w:bottom w:val="single" w:color="auto" w:sz="4" w:space="0"/>
              <w:right w:val="single" w:color="auto" w:sz="4" w:space="0"/>
            </w:tcBorders>
            <w:vAlign w:val="center"/>
          </w:tcPr>
          <w:p w14:paraId="36A549B6">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磋商保证金</w:t>
            </w:r>
          </w:p>
        </w:tc>
        <w:tc>
          <w:tcPr>
            <w:tcW w:w="5355" w:type="dxa"/>
            <w:tcBorders>
              <w:top w:val="single" w:color="auto" w:sz="4" w:space="0"/>
              <w:left w:val="nil"/>
              <w:bottom w:val="single" w:color="auto" w:sz="4" w:space="0"/>
              <w:right w:val="single" w:color="auto" w:sz="4" w:space="0"/>
            </w:tcBorders>
            <w:vAlign w:val="center"/>
          </w:tcPr>
          <w:p w14:paraId="48BB28B4">
            <w:pPr>
              <w:pageBreakBefore w:val="0"/>
              <w:kinsoku/>
              <w:overflowPunct/>
              <w:topLinePunct w:val="0"/>
              <w:bidi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按照《河南省财政厅关于优化政府采购营商环境有关问题的通知》（豫财购[2019]4号文）的要求本项目不再收取磋商保证金。</w:t>
            </w:r>
          </w:p>
        </w:tc>
      </w:tr>
      <w:tr w14:paraId="57A97F14">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1353A1A3">
            <w:pPr>
              <w:pageBreakBefore w:val="0"/>
              <w:kinsoku/>
              <w:overflowPunct/>
              <w:topLinePunct w:val="0"/>
              <w:bidi w:val="0"/>
              <w:spacing w:line="360" w:lineRule="auto"/>
              <w:jc w:val="center"/>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w:t>
            </w:r>
          </w:p>
        </w:tc>
        <w:tc>
          <w:tcPr>
            <w:tcW w:w="2870" w:type="dxa"/>
            <w:tcBorders>
              <w:top w:val="single" w:color="auto" w:sz="4" w:space="0"/>
              <w:left w:val="nil"/>
              <w:bottom w:val="single" w:color="auto" w:sz="4" w:space="0"/>
              <w:right w:val="single" w:color="auto" w:sz="4" w:space="0"/>
            </w:tcBorders>
            <w:vAlign w:val="center"/>
          </w:tcPr>
          <w:p w14:paraId="70D528FC">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电子化响应文件的签章</w:t>
            </w:r>
          </w:p>
        </w:tc>
        <w:tc>
          <w:tcPr>
            <w:tcW w:w="5355" w:type="dxa"/>
            <w:tcBorders>
              <w:top w:val="single" w:color="auto" w:sz="4" w:space="0"/>
              <w:left w:val="nil"/>
              <w:bottom w:val="single" w:color="auto" w:sz="4" w:space="0"/>
              <w:right w:val="single" w:color="auto" w:sz="4" w:space="0"/>
            </w:tcBorders>
            <w:vAlign w:val="center"/>
          </w:tcPr>
          <w:p w14:paraId="682F072C">
            <w:pPr>
              <w:pageBreakBefore w:val="0"/>
              <w:kinsoku/>
              <w:overflowPunct/>
              <w:topLinePunct w:val="0"/>
              <w:bidi w:val="0"/>
              <w:spacing w:line="360" w:lineRule="auto"/>
              <w:outlineLvl w:val="9"/>
              <w:rPr>
                <w:rFonts w:hint="eastAsia" w:ascii="宋体" w:hAnsi="宋体" w:eastAsia="宋体" w:cs="宋体"/>
                <w:color w:val="auto"/>
                <w:spacing w:val="6"/>
                <w:sz w:val="24"/>
                <w:szCs w:val="24"/>
                <w:highlight w:val="none"/>
              </w:rPr>
            </w:pPr>
            <w:r>
              <w:rPr>
                <w:rFonts w:hint="eastAsia" w:ascii="宋体" w:hAnsi="宋体" w:cs="宋体"/>
                <w:color w:val="auto"/>
                <w:sz w:val="24"/>
                <w:szCs w:val="24"/>
                <w:highlight w:val="none"/>
              </w:rPr>
              <w:t>磋商响应供应商在进行电子化磋商响应文件签章时，竞争性磋商文件中要求磋商响应供应商盖章的，以签盖单位章为准；要求法定代表人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自然人或者经营者</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签章的，以签盖法定代表人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自然人或者经营者</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签章为准。</w:t>
            </w:r>
          </w:p>
        </w:tc>
      </w:tr>
      <w:tr w14:paraId="3CE46F12">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68037F48">
            <w:pPr>
              <w:pageBreakBefore w:val="0"/>
              <w:kinsoku/>
              <w:overflowPunct/>
              <w:topLinePunct w:val="0"/>
              <w:bidi w:val="0"/>
              <w:spacing w:line="360" w:lineRule="auto"/>
              <w:jc w:val="center"/>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2870" w:type="dxa"/>
            <w:tcBorders>
              <w:top w:val="single" w:color="auto" w:sz="4" w:space="0"/>
              <w:left w:val="nil"/>
              <w:bottom w:val="single" w:color="auto" w:sz="4" w:space="0"/>
              <w:right w:val="single" w:color="auto" w:sz="4" w:space="0"/>
            </w:tcBorders>
            <w:vAlign w:val="center"/>
          </w:tcPr>
          <w:p w14:paraId="2FFEC507">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磋商地点</w:t>
            </w:r>
          </w:p>
        </w:tc>
        <w:tc>
          <w:tcPr>
            <w:tcW w:w="5355" w:type="dxa"/>
            <w:tcBorders>
              <w:top w:val="single" w:color="auto" w:sz="4" w:space="0"/>
              <w:left w:val="nil"/>
              <w:bottom w:val="single" w:color="auto" w:sz="4" w:space="0"/>
              <w:right w:val="single" w:color="auto" w:sz="4" w:space="0"/>
            </w:tcBorders>
            <w:vAlign w:val="center"/>
          </w:tcPr>
          <w:p w14:paraId="00F61691">
            <w:pPr>
              <w:pageBreakBefore w:val="0"/>
              <w:kinsoku/>
              <w:overflowPunct/>
              <w:topLinePunct w:val="0"/>
              <w:bidi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三门峡市公共资源交易中心</w:t>
            </w:r>
            <w:r>
              <w:rPr>
                <w:rFonts w:hint="eastAsia" w:ascii="宋体" w:hAnsi="宋体" w:eastAsia="宋体" w:cs="宋体"/>
                <w:color w:val="auto"/>
                <w:sz w:val="24"/>
                <w:szCs w:val="24"/>
                <w:highlight w:val="none"/>
                <w:lang w:val="en-US" w:eastAsia="zh-CN"/>
              </w:rPr>
              <w:t>五楼</w:t>
            </w:r>
            <w:r>
              <w:rPr>
                <w:rFonts w:hint="eastAsia" w:ascii="宋体" w:hAnsi="宋体" w:eastAsia="宋体" w:cs="宋体"/>
                <w:color w:val="auto"/>
                <w:sz w:val="24"/>
                <w:szCs w:val="24"/>
                <w:highlight w:val="none"/>
              </w:rPr>
              <w:t>开标区</w:t>
            </w:r>
          </w:p>
        </w:tc>
      </w:tr>
      <w:tr w14:paraId="50046668">
        <w:tblPrEx>
          <w:tblCellMar>
            <w:top w:w="0" w:type="dxa"/>
            <w:left w:w="108" w:type="dxa"/>
            <w:bottom w:w="0" w:type="dxa"/>
            <w:right w:w="108" w:type="dxa"/>
          </w:tblCellMar>
        </w:tblPrEx>
        <w:trPr>
          <w:trHeight w:val="9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72DF2906">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p>
        </w:tc>
        <w:tc>
          <w:tcPr>
            <w:tcW w:w="2870" w:type="dxa"/>
            <w:tcBorders>
              <w:top w:val="single" w:color="auto" w:sz="4" w:space="0"/>
              <w:left w:val="nil"/>
              <w:bottom w:val="single" w:color="auto" w:sz="4" w:space="0"/>
              <w:right w:val="single" w:color="auto" w:sz="4" w:space="0"/>
            </w:tcBorders>
            <w:vAlign w:val="center"/>
          </w:tcPr>
          <w:p w14:paraId="11FE4674">
            <w:pPr>
              <w:pageBreakBefore w:val="0"/>
              <w:kinsoku/>
              <w:overflowPunct/>
              <w:topLinePunct w:val="0"/>
              <w:bidi w:val="0"/>
              <w:spacing w:line="360" w:lineRule="auto"/>
              <w:jc w:val="center"/>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磋商小组</w:t>
            </w:r>
            <w:r>
              <w:rPr>
                <w:rFonts w:hint="eastAsia" w:ascii="宋体" w:hAnsi="宋体" w:eastAsia="宋体" w:cs="宋体"/>
                <w:color w:val="auto"/>
                <w:sz w:val="24"/>
                <w:szCs w:val="24"/>
                <w:highlight w:val="none"/>
                <w:lang w:val="en-US" w:eastAsia="zh-CN"/>
              </w:rPr>
              <w:t>的组建</w:t>
            </w:r>
          </w:p>
        </w:tc>
        <w:tc>
          <w:tcPr>
            <w:tcW w:w="5355" w:type="dxa"/>
            <w:tcBorders>
              <w:top w:val="single" w:color="auto" w:sz="4" w:space="0"/>
              <w:left w:val="nil"/>
              <w:bottom w:val="single" w:color="auto" w:sz="4" w:space="0"/>
              <w:right w:val="single" w:color="auto" w:sz="4" w:space="0"/>
            </w:tcBorders>
            <w:vAlign w:val="center"/>
          </w:tcPr>
          <w:p w14:paraId="5676D944">
            <w:pPr>
              <w:pageBreakBefore w:val="0"/>
              <w:kinsoku/>
              <w:overflowPunct/>
              <w:topLinePunct w:val="0"/>
              <w:bidi w:val="0"/>
              <w:spacing w:line="420" w:lineRule="exact"/>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磋商小组构成:</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 ，其中</w:t>
            </w:r>
            <w:r>
              <w:rPr>
                <w:rFonts w:hint="eastAsia" w:ascii="宋体" w:hAnsi="宋体" w:cs="宋体"/>
                <w:color w:val="auto"/>
                <w:sz w:val="24"/>
                <w:szCs w:val="24"/>
                <w:highlight w:val="none"/>
                <w:lang w:val="en-US" w:eastAsia="zh-CN"/>
              </w:rPr>
              <w:t>经济、技术</w:t>
            </w:r>
            <w:r>
              <w:rPr>
                <w:rFonts w:hint="eastAsia" w:ascii="宋体" w:hAnsi="宋体" w:cs="宋体"/>
                <w:color w:val="auto"/>
                <w:sz w:val="24"/>
                <w:szCs w:val="24"/>
                <w:highlight w:val="none"/>
              </w:rPr>
              <w:t>评审专家人数不得少于磋商小组成员总数的2/3；</w:t>
            </w:r>
          </w:p>
          <w:p w14:paraId="1B44F880">
            <w:pPr>
              <w:pageBreakBefore w:val="0"/>
              <w:kinsoku/>
              <w:overflowPunct/>
              <w:topLinePunct w:val="0"/>
              <w:bidi w:val="0"/>
              <w:spacing w:line="420" w:lineRule="exact"/>
              <w:outlineLvl w:val="9"/>
              <w:rPr>
                <w:rFonts w:hint="eastAsia" w:ascii="宋体" w:hAnsi="宋体" w:cs="宋体"/>
                <w:sz w:val="24"/>
                <w:szCs w:val="24"/>
                <w:highlight w:val="none"/>
              </w:rPr>
            </w:pPr>
            <w:r>
              <w:rPr>
                <w:rFonts w:hint="eastAsia" w:ascii="宋体" w:hAnsi="宋体" w:cs="宋体"/>
                <w:color w:val="auto"/>
                <w:sz w:val="24"/>
                <w:szCs w:val="24"/>
                <w:highlight w:val="none"/>
              </w:rPr>
              <w:t>磋商专家确定方式</w:t>
            </w:r>
            <w:r>
              <w:rPr>
                <w:rFonts w:hint="eastAsia" w:ascii="宋体" w:hAnsi="宋体" w:cs="宋体"/>
                <w:color w:val="auto"/>
                <w:sz w:val="24"/>
                <w:szCs w:val="24"/>
                <w:highlight w:val="none"/>
                <w:lang w:eastAsia="zh-CN"/>
              </w:rPr>
              <w:t>：</w:t>
            </w:r>
            <w:r>
              <w:rPr>
                <w:rFonts w:hint="eastAsia" w:ascii="宋体" w:hAnsi="宋体" w:cs="宋体"/>
                <w:sz w:val="24"/>
                <w:szCs w:val="24"/>
                <w:highlight w:val="none"/>
                <w:lang w:val="en-US" w:eastAsia="zh-CN"/>
              </w:rPr>
              <w:t>从河南省电子化政府采购系统评标专家库</w:t>
            </w:r>
            <w:r>
              <w:rPr>
                <w:rFonts w:hint="eastAsia" w:ascii="宋体" w:hAnsi="宋体" w:cs="宋体"/>
                <w:sz w:val="24"/>
                <w:szCs w:val="24"/>
                <w:highlight w:val="none"/>
              </w:rPr>
              <w:t>中随机抽取</w:t>
            </w:r>
            <w:r>
              <w:rPr>
                <w:rFonts w:hint="eastAsia" w:ascii="宋体" w:hAnsi="宋体" w:cs="宋体"/>
                <w:sz w:val="24"/>
                <w:szCs w:val="24"/>
                <w:highlight w:val="none"/>
                <w:lang w:eastAsia="zh-CN"/>
              </w:rPr>
              <w:t>技术、</w:t>
            </w:r>
            <w:r>
              <w:rPr>
                <w:rFonts w:hint="eastAsia" w:ascii="宋体" w:hAnsi="宋体" w:cs="宋体"/>
                <w:sz w:val="24"/>
                <w:szCs w:val="24"/>
                <w:highlight w:val="none"/>
                <w:lang w:val="en-US" w:eastAsia="zh-CN"/>
              </w:rPr>
              <w:t>经济专家共3人</w:t>
            </w:r>
            <w:r>
              <w:rPr>
                <w:rFonts w:hint="eastAsia" w:ascii="宋体" w:hAnsi="宋体" w:cs="宋体"/>
                <w:sz w:val="24"/>
                <w:szCs w:val="24"/>
                <w:highlight w:val="none"/>
              </w:rPr>
              <w:t>。</w:t>
            </w:r>
          </w:p>
          <w:p w14:paraId="280A74E1">
            <w:pPr>
              <w:pageBreakBefore w:val="0"/>
              <w:kinsoku/>
              <w:overflowPunct/>
              <w:topLinePunct w:val="0"/>
              <w:bidi w:val="0"/>
              <w:spacing w:line="420" w:lineRule="exact"/>
              <w:outlineLvl w:val="9"/>
              <w:rPr>
                <w:rFonts w:hint="eastAsia" w:ascii="宋体" w:hAnsi="宋体" w:eastAsia="宋体" w:cs="宋体"/>
                <w:color w:val="auto"/>
                <w:sz w:val="24"/>
                <w:szCs w:val="24"/>
                <w:highlight w:val="none"/>
              </w:rPr>
            </w:pPr>
            <w:r>
              <w:rPr>
                <w:rFonts w:hint="eastAsia" w:ascii="宋体" w:hAnsi="宋体" w:eastAsia="宋体" w:cs="宋体"/>
                <w:b/>
                <w:bCs/>
                <w:sz w:val="24"/>
                <w:highlight w:val="none"/>
                <w:lang w:val="en-US" w:eastAsia="zh-CN"/>
              </w:rPr>
              <w:t>备注：业主评委无评标劳务费用。</w:t>
            </w:r>
          </w:p>
        </w:tc>
      </w:tr>
      <w:tr w14:paraId="7FC136D2">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536874E5">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p>
        </w:tc>
        <w:tc>
          <w:tcPr>
            <w:tcW w:w="2870" w:type="dxa"/>
            <w:tcBorders>
              <w:top w:val="single" w:color="auto" w:sz="4" w:space="0"/>
              <w:left w:val="nil"/>
              <w:bottom w:val="single" w:color="auto" w:sz="4" w:space="0"/>
              <w:right w:val="single" w:color="auto" w:sz="4" w:space="0"/>
            </w:tcBorders>
            <w:vAlign w:val="center"/>
          </w:tcPr>
          <w:p w14:paraId="25502998">
            <w:pPr>
              <w:pageBreakBefore w:val="0"/>
              <w:kinsoku/>
              <w:overflowPunct/>
              <w:topLinePunct w:val="0"/>
              <w:bidi w:val="0"/>
              <w:spacing w:line="360" w:lineRule="auto"/>
              <w:jc w:val="center"/>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是否授权磋商小组确定</w:t>
            </w:r>
            <w:r>
              <w:rPr>
                <w:rFonts w:hint="eastAsia" w:ascii="宋体" w:hAnsi="宋体" w:eastAsia="宋体" w:cs="宋体"/>
                <w:color w:val="auto"/>
                <w:sz w:val="24"/>
                <w:szCs w:val="24"/>
                <w:highlight w:val="none"/>
                <w:lang w:val="en-US" w:eastAsia="zh-CN"/>
              </w:rPr>
              <w:t>成交人</w:t>
            </w:r>
          </w:p>
        </w:tc>
        <w:tc>
          <w:tcPr>
            <w:tcW w:w="5355" w:type="dxa"/>
            <w:tcBorders>
              <w:top w:val="single" w:color="auto" w:sz="4" w:space="0"/>
              <w:left w:val="nil"/>
              <w:bottom w:val="single" w:color="auto" w:sz="4" w:space="0"/>
              <w:right w:val="single" w:color="auto" w:sz="4" w:space="0"/>
            </w:tcBorders>
            <w:vAlign w:val="center"/>
          </w:tcPr>
          <w:p w14:paraId="4A79D88E">
            <w:pPr>
              <w:pageBreakBefore w:val="0"/>
              <w:kinsoku/>
              <w:overflowPunct/>
              <w:topLinePunct w:val="0"/>
              <w:bidi w:val="0"/>
              <w:spacing w:line="360" w:lineRule="auto"/>
              <w:outlineLvl w:val="9"/>
              <w:rPr>
                <w:rFonts w:hint="eastAsia" w:ascii="宋体" w:hAnsi="宋体" w:eastAsia="宋体" w:cs="宋体"/>
                <w:color w:val="auto"/>
                <w:sz w:val="24"/>
                <w:szCs w:val="24"/>
                <w:highlight w:val="none"/>
                <w:lang w:eastAsia="zh-CN"/>
              </w:rPr>
            </w:pPr>
            <w:r>
              <w:rPr>
                <w:rFonts w:hint="eastAsia" w:ascii="宋体" w:hAnsi="宋体" w:eastAsia="宋体"/>
                <w:bCs/>
                <w:color w:val="auto"/>
                <w:sz w:val="24"/>
                <w:szCs w:val="24"/>
                <w:highlight w:val="none"/>
              </w:rPr>
              <w:t>否，</w:t>
            </w:r>
            <w:r>
              <w:rPr>
                <w:rFonts w:hint="eastAsia" w:ascii="宋体" w:hAnsi="宋体" w:eastAsia="宋体"/>
                <w:bCs/>
                <w:color w:val="auto"/>
                <w:sz w:val="24"/>
                <w:szCs w:val="24"/>
                <w:highlight w:val="none"/>
                <w:lang w:val="en-US" w:eastAsia="zh-CN"/>
              </w:rPr>
              <w:t>磋商小组</w:t>
            </w:r>
            <w:r>
              <w:rPr>
                <w:rFonts w:hint="eastAsia" w:ascii="宋体" w:hAnsi="宋体" w:eastAsia="宋体"/>
                <w:bCs/>
                <w:color w:val="auto"/>
                <w:sz w:val="24"/>
                <w:szCs w:val="24"/>
                <w:highlight w:val="none"/>
              </w:rPr>
              <w:t>按综合评分由高到低的顺序推荐</w:t>
            </w:r>
            <w:r>
              <w:rPr>
                <w:rFonts w:hint="eastAsia" w:ascii="宋体" w:hAnsi="宋体" w:eastAsia="宋体"/>
                <w:bCs/>
                <w:color w:val="auto"/>
                <w:sz w:val="24"/>
                <w:szCs w:val="24"/>
                <w:highlight w:val="none"/>
                <w:lang w:val="en-US" w:eastAsia="zh-CN"/>
              </w:rPr>
              <w:t>3名成交</w:t>
            </w:r>
            <w:r>
              <w:rPr>
                <w:rFonts w:hint="eastAsia" w:ascii="宋体" w:hAnsi="宋体" w:eastAsia="宋体"/>
                <w:bCs/>
                <w:color w:val="auto"/>
                <w:sz w:val="24"/>
                <w:szCs w:val="24"/>
                <w:highlight w:val="none"/>
              </w:rPr>
              <w:t>候选人。</w:t>
            </w:r>
          </w:p>
        </w:tc>
      </w:tr>
      <w:tr w14:paraId="10439414">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37231BD7">
            <w:pPr>
              <w:pageBreakBefore w:val="0"/>
              <w:kinsoku/>
              <w:overflowPunct/>
              <w:topLinePunct w:val="0"/>
              <w:bidi w:val="0"/>
              <w:spacing w:line="360" w:lineRule="auto"/>
              <w:jc w:val="center"/>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w:t>
            </w:r>
          </w:p>
        </w:tc>
        <w:tc>
          <w:tcPr>
            <w:tcW w:w="2870" w:type="dxa"/>
            <w:tcBorders>
              <w:top w:val="single" w:color="auto" w:sz="4" w:space="0"/>
              <w:left w:val="nil"/>
              <w:bottom w:val="single" w:color="auto" w:sz="4" w:space="0"/>
              <w:right w:val="single" w:color="auto" w:sz="4" w:space="0"/>
            </w:tcBorders>
            <w:vAlign w:val="center"/>
          </w:tcPr>
          <w:p w14:paraId="23E1FFBF">
            <w:pPr>
              <w:pageBreakBefore w:val="0"/>
              <w:widowControl/>
              <w:kinsoku/>
              <w:overflowPunct/>
              <w:topLinePunct w:val="0"/>
              <w:bidi w:val="0"/>
              <w:spacing w:line="360" w:lineRule="auto"/>
              <w:jc w:val="center"/>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磋商标准及方法</w:t>
            </w:r>
          </w:p>
        </w:tc>
        <w:tc>
          <w:tcPr>
            <w:tcW w:w="5355" w:type="dxa"/>
            <w:tcBorders>
              <w:top w:val="single" w:color="auto" w:sz="4" w:space="0"/>
              <w:left w:val="nil"/>
              <w:bottom w:val="single" w:color="auto" w:sz="4" w:space="0"/>
              <w:right w:val="single" w:color="auto" w:sz="4" w:space="0"/>
            </w:tcBorders>
            <w:vAlign w:val="center"/>
          </w:tcPr>
          <w:p w14:paraId="0E34B26F">
            <w:pPr>
              <w:pageBreakBefore w:val="0"/>
              <w:widowControl/>
              <w:kinsoku/>
              <w:overflowPunct/>
              <w:topLinePunct w:val="0"/>
              <w:bidi w:val="0"/>
              <w:spacing w:line="360" w:lineRule="auto"/>
              <w:ind w:firstLine="504" w:firstLineChars="200"/>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由磋商小组采用综合评</w:t>
            </w:r>
            <w:r>
              <w:rPr>
                <w:rFonts w:hint="eastAsia" w:ascii="宋体" w:hAnsi="宋体" w:eastAsia="宋体" w:cs="宋体"/>
                <w:color w:val="auto"/>
                <w:spacing w:val="6"/>
                <w:sz w:val="24"/>
                <w:szCs w:val="24"/>
                <w:highlight w:val="none"/>
                <w:lang w:val="en-US" w:eastAsia="zh-CN"/>
              </w:rPr>
              <w:t>分</w:t>
            </w:r>
            <w:r>
              <w:rPr>
                <w:rFonts w:hint="eastAsia" w:ascii="宋体" w:hAnsi="宋体" w:eastAsia="宋体" w:cs="宋体"/>
                <w:color w:val="auto"/>
                <w:spacing w:val="6"/>
                <w:sz w:val="24"/>
                <w:szCs w:val="24"/>
                <w:highlight w:val="none"/>
              </w:rPr>
              <w:t>法对提交最后报价的</w:t>
            </w:r>
            <w:r>
              <w:rPr>
                <w:rFonts w:hint="eastAsia" w:ascii="宋体" w:hAnsi="宋体" w:eastAsia="宋体" w:cs="宋体"/>
                <w:color w:val="auto"/>
                <w:spacing w:val="6"/>
                <w:sz w:val="24"/>
                <w:szCs w:val="24"/>
                <w:highlight w:val="none"/>
                <w:lang w:eastAsia="zh-CN"/>
              </w:rPr>
              <w:t>供应商</w:t>
            </w:r>
            <w:r>
              <w:rPr>
                <w:rFonts w:hint="eastAsia" w:ascii="宋体" w:hAnsi="宋体" w:eastAsia="宋体" w:cs="宋体"/>
                <w:color w:val="auto"/>
                <w:spacing w:val="6"/>
                <w:sz w:val="24"/>
                <w:szCs w:val="24"/>
                <w:highlight w:val="none"/>
              </w:rPr>
              <w:t>的响应文件和最后报价进行综合评分。综合评</w:t>
            </w:r>
            <w:r>
              <w:rPr>
                <w:rFonts w:hint="eastAsia" w:ascii="宋体" w:hAnsi="宋体" w:eastAsia="宋体" w:cs="宋体"/>
                <w:color w:val="auto"/>
                <w:spacing w:val="6"/>
                <w:sz w:val="24"/>
                <w:szCs w:val="24"/>
                <w:highlight w:val="none"/>
                <w:lang w:val="en-US" w:eastAsia="zh-CN"/>
              </w:rPr>
              <w:t>分</w:t>
            </w:r>
            <w:r>
              <w:rPr>
                <w:rFonts w:hint="eastAsia" w:ascii="宋体" w:hAnsi="宋体" w:eastAsia="宋体" w:cs="宋体"/>
                <w:color w:val="auto"/>
                <w:spacing w:val="6"/>
                <w:sz w:val="24"/>
                <w:szCs w:val="24"/>
                <w:highlight w:val="none"/>
              </w:rPr>
              <w:t>法，是指响应文件满足竞争性磋商文件全部实质性要求且按评审因素的量化指标评审得分最高的</w:t>
            </w:r>
            <w:r>
              <w:rPr>
                <w:rFonts w:hint="eastAsia" w:ascii="宋体" w:hAnsi="宋体" w:eastAsia="宋体" w:cs="宋体"/>
                <w:color w:val="auto"/>
                <w:spacing w:val="6"/>
                <w:sz w:val="24"/>
                <w:szCs w:val="24"/>
                <w:highlight w:val="none"/>
                <w:lang w:eastAsia="zh-CN"/>
              </w:rPr>
              <w:t>供应商</w:t>
            </w:r>
            <w:r>
              <w:rPr>
                <w:rFonts w:hint="eastAsia" w:ascii="宋体" w:hAnsi="宋体" w:eastAsia="宋体" w:cs="宋体"/>
                <w:color w:val="auto"/>
                <w:spacing w:val="6"/>
                <w:sz w:val="24"/>
                <w:szCs w:val="24"/>
                <w:highlight w:val="none"/>
              </w:rPr>
              <w:t>为</w:t>
            </w:r>
            <w:r>
              <w:rPr>
                <w:rFonts w:hint="eastAsia" w:ascii="宋体" w:hAnsi="宋体" w:eastAsia="宋体" w:cs="宋体"/>
                <w:color w:val="auto"/>
                <w:spacing w:val="6"/>
                <w:sz w:val="24"/>
                <w:szCs w:val="24"/>
                <w:highlight w:val="none"/>
                <w:lang w:val="en-US" w:eastAsia="zh-CN"/>
              </w:rPr>
              <w:t>成交</w:t>
            </w:r>
            <w:r>
              <w:rPr>
                <w:rFonts w:hint="eastAsia" w:ascii="宋体" w:hAnsi="宋体" w:eastAsia="宋体" w:cs="宋体"/>
                <w:color w:val="auto"/>
                <w:spacing w:val="6"/>
                <w:sz w:val="24"/>
                <w:szCs w:val="24"/>
                <w:highlight w:val="none"/>
              </w:rPr>
              <w:t>单位的磋商方法。</w:t>
            </w:r>
          </w:p>
        </w:tc>
      </w:tr>
      <w:tr w14:paraId="57C2698B">
        <w:tblPrEx>
          <w:tblCellMar>
            <w:top w:w="0" w:type="dxa"/>
            <w:left w:w="108" w:type="dxa"/>
            <w:bottom w:w="0" w:type="dxa"/>
            <w:right w:w="108" w:type="dxa"/>
          </w:tblCellMar>
        </w:tblPrEx>
        <w:trPr>
          <w:trHeight w:val="43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75A086BD">
            <w:pPr>
              <w:pageBreakBefore w:val="0"/>
              <w:kinsoku/>
              <w:overflowPunct/>
              <w:topLinePunct w:val="0"/>
              <w:bidi w:val="0"/>
              <w:spacing w:line="360" w:lineRule="auto"/>
              <w:jc w:val="center"/>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w:t>
            </w:r>
          </w:p>
        </w:tc>
        <w:tc>
          <w:tcPr>
            <w:tcW w:w="2870" w:type="dxa"/>
            <w:tcBorders>
              <w:top w:val="single" w:color="auto" w:sz="4" w:space="0"/>
              <w:left w:val="nil"/>
              <w:bottom w:val="single" w:color="auto" w:sz="4" w:space="0"/>
              <w:right w:val="single" w:color="auto" w:sz="4" w:space="0"/>
            </w:tcBorders>
            <w:vAlign w:val="center"/>
          </w:tcPr>
          <w:p w14:paraId="5D093A68">
            <w:pPr>
              <w:pageBreakBefore w:val="0"/>
              <w:kinsoku/>
              <w:overflowPunct/>
              <w:topLinePunct w:val="0"/>
              <w:bidi w:val="0"/>
              <w:adjustRightInd w:val="0"/>
              <w:spacing w:line="360" w:lineRule="auto"/>
              <w:jc w:val="center"/>
              <w:outlineLvl w:val="9"/>
              <w:rPr>
                <w:rFonts w:hint="eastAsia" w:ascii="宋体" w:hAnsi="宋体" w:eastAsia="宋体" w:cs="宋体"/>
                <w:b w:val="0"/>
                <w:bCs w:val="0"/>
                <w:color w:val="auto"/>
                <w:spacing w:val="6"/>
                <w:kern w:val="0"/>
                <w:sz w:val="24"/>
                <w:szCs w:val="24"/>
                <w:highlight w:val="none"/>
                <w:lang w:val="en-US" w:eastAsia="zh-CN"/>
              </w:rPr>
            </w:pPr>
            <w:r>
              <w:rPr>
                <w:rFonts w:hint="eastAsia" w:ascii="宋体" w:hAnsi="宋体" w:eastAsia="宋体" w:cs="宋体"/>
                <w:b w:val="0"/>
                <w:bCs w:val="0"/>
                <w:color w:val="auto"/>
                <w:spacing w:val="6"/>
                <w:kern w:val="0"/>
                <w:sz w:val="24"/>
                <w:szCs w:val="24"/>
                <w:highlight w:val="none"/>
                <w:lang w:val="en-US" w:eastAsia="zh-CN"/>
              </w:rPr>
              <w:t>采购控制价</w:t>
            </w:r>
          </w:p>
        </w:tc>
        <w:tc>
          <w:tcPr>
            <w:tcW w:w="5355" w:type="dxa"/>
            <w:tcBorders>
              <w:top w:val="single" w:color="auto" w:sz="4" w:space="0"/>
              <w:left w:val="nil"/>
              <w:bottom w:val="single" w:color="auto" w:sz="4" w:space="0"/>
              <w:right w:val="single" w:color="auto" w:sz="4" w:space="0"/>
            </w:tcBorders>
            <w:vAlign w:val="center"/>
          </w:tcPr>
          <w:p w14:paraId="21D79F7F">
            <w:pPr>
              <w:pageBreakBefore w:val="0"/>
              <w:kinsoku/>
              <w:overflowPunct/>
              <w:topLinePunct w:val="0"/>
              <w:autoSpaceDE w:val="0"/>
              <w:autoSpaceDN w:val="0"/>
              <w:bidi w:val="0"/>
              <w:adjustRightInd w:val="0"/>
              <w:spacing w:line="360" w:lineRule="auto"/>
              <w:outlineLvl w:val="9"/>
              <w:rPr>
                <w:rFonts w:hint="eastAsia" w:ascii="宋体" w:hAnsi="宋体" w:eastAsia="宋体"/>
                <w:b w:val="0"/>
                <w:bCs w:val="0"/>
                <w:color w:val="auto"/>
                <w:sz w:val="24"/>
                <w:szCs w:val="24"/>
                <w:highlight w:val="none"/>
                <w:lang w:val="en-US" w:eastAsia="zh-CN"/>
              </w:rPr>
            </w:pPr>
            <w:r>
              <w:rPr>
                <w:rFonts w:hint="eastAsia" w:ascii="宋体" w:hAnsi="宋体" w:eastAsia="宋体"/>
                <w:b w:val="0"/>
                <w:bCs w:val="0"/>
                <w:color w:val="auto"/>
                <w:sz w:val="24"/>
                <w:szCs w:val="24"/>
                <w:highlight w:val="none"/>
                <w:lang w:val="en-US" w:eastAsia="zh-CN"/>
              </w:rPr>
              <w:t>本项目采购控制价为:1179103.95元（其中：一标段：684016.00元 ；二标段：255250.00元 ；三标段：239837.95元） ；</w:t>
            </w:r>
          </w:p>
          <w:p w14:paraId="3755CE79">
            <w:pPr>
              <w:pageBreakBefore w:val="0"/>
              <w:kinsoku/>
              <w:overflowPunct/>
              <w:topLinePunct w:val="0"/>
              <w:autoSpaceDE w:val="0"/>
              <w:autoSpaceDN w:val="0"/>
              <w:bidi w:val="0"/>
              <w:adjustRightInd w:val="0"/>
              <w:spacing w:line="360" w:lineRule="auto"/>
              <w:outlineLvl w:val="9"/>
              <w:rPr>
                <w:rFonts w:hint="default" w:ascii="宋体" w:hAnsi="宋体" w:eastAsia="宋体" w:cs="宋体"/>
                <w:b/>
                <w:bCs/>
                <w:color w:val="FF0000"/>
                <w:kern w:val="2"/>
                <w:sz w:val="24"/>
                <w:szCs w:val="24"/>
                <w:highlight w:val="none"/>
                <w:lang w:val="en-US" w:eastAsia="zh-CN" w:bidi="ar-SA"/>
              </w:rPr>
            </w:pPr>
            <w:r>
              <w:rPr>
                <w:rFonts w:hint="eastAsia" w:ascii="宋体" w:hAnsi="宋体" w:eastAsia="宋体"/>
                <w:b w:val="0"/>
                <w:bCs w:val="0"/>
                <w:color w:val="auto"/>
                <w:sz w:val="24"/>
                <w:szCs w:val="24"/>
                <w:highlight w:val="none"/>
              </w:rPr>
              <w:t>供应商</w:t>
            </w:r>
            <w:r>
              <w:rPr>
                <w:rFonts w:hint="eastAsia" w:ascii="宋体" w:hAnsi="宋体" w:eastAsia="宋体"/>
                <w:b w:val="0"/>
                <w:bCs w:val="0"/>
                <w:color w:val="auto"/>
                <w:sz w:val="24"/>
                <w:szCs w:val="24"/>
                <w:highlight w:val="none"/>
                <w:lang w:val="en-US" w:eastAsia="zh-CN"/>
              </w:rPr>
              <w:t>的</w:t>
            </w:r>
            <w:r>
              <w:rPr>
                <w:rFonts w:hint="eastAsia" w:ascii="宋体" w:hAnsi="宋体" w:eastAsia="宋体"/>
                <w:b w:val="0"/>
                <w:bCs w:val="0"/>
                <w:color w:val="auto"/>
                <w:sz w:val="24"/>
                <w:szCs w:val="24"/>
                <w:highlight w:val="none"/>
              </w:rPr>
              <w:t>磋商报价超出</w:t>
            </w:r>
            <w:r>
              <w:rPr>
                <w:rFonts w:hint="eastAsia" w:ascii="宋体" w:hAnsi="宋体" w:eastAsia="宋体"/>
                <w:b w:val="0"/>
                <w:bCs w:val="0"/>
                <w:color w:val="auto"/>
                <w:sz w:val="24"/>
                <w:szCs w:val="24"/>
                <w:highlight w:val="none"/>
                <w:lang w:val="en-US" w:eastAsia="zh-CN"/>
              </w:rPr>
              <w:t>采购人给出的采购控制价</w:t>
            </w:r>
            <w:r>
              <w:rPr>
                <w:rFonts w:hint="eastAsia" w:ascii="宋体" w:hAnsi="宋体" w:eastAsia="宋体"/>
                <w:b w:val="0"/>
                <w:bCs w:val="0"/>
                <w:color w:val="auto"/>
                <w:sz w:val="24"/>
                <w:szCs w:val="24"/>
                <w:highlight w:val="none"/>
              </w:rPr>
              <w:t>，该供应商的响应文件应作无效标处理。</w:t>
            </w:r>
          </w:p>
        </w:tc>
      </w:tr>
      <w:tr w14:paraId="36583399">
        <w:tblPrEx>
          <w:tblCellMar>
            <w:top w:w="0" w:type="dxa"/>
            <w:left w:w="108" w:type="dxa"/>
            <w:bottom w:w="0" w:type="dxa"/>
            <w:right w:w="108" w:type="dxa"/>
          </w:tblCellMar>
        </w:tblPrEx>
        <w:trPr>
          <w:trHeight w:val="43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6334FE7C">
            <w:pPr>
              <w:pageBreakBefore w:val="0"/>
              <w:kinsoku/>
              <w:overflowPunct/>
              <w:topLinePunct w:val="0"/>
              <w:bidi w:val="0"/>
              <w:spacing w:line="360" w:lineRule="auto"/>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30</w:t>
            </w:r>
          </w:p>
        </w:tc>
        <w:tc>
          <w:tcPr>
            <w:tcW w:w="2870" w:type="dxa"/>
            <w:tcBorders>
              <w:top w:val="single" w:color="auto" w:sz="4" w:space="0"/>
              <w:left w:val="nil"/>
              <w:bottom w:val="single" w:color="auto" w:sz="4" w:space="0"/>
              <w:right w:val="single" w:color="auto" w:sz="4" w:space="0"/>
            </w:tcBorders>
            <w:vAlign w:val="center"/>
          </w:tcPr>
          <w:p w14:paraId="6A29435F">
            <w:pPr>
              <w:pageBreakBefore w:val="0"/>
              <w:kinsoku/>
              <w:overflowPunct/>
              <w:topLinePunct w:val="0"/>
              <w:bidi w:val="0"/>
              <w:adjustRightInd w:val="0"/>
              <w:spacing w:line="360" w:lineRule="auto"/>
              <w:jc w:val="center"/>
              <w:outlineLvl w:val="9"/>
              <w:rPr>
                <w:rFonts w:hint="eastAsia" w:ascii="宋体" w:hAnsi="宋体" w:eastAsia="宋体" w:cs="宋体"/>
                <w:b w:val="0"/>
                <w:bCs w:val="0"/>
                <w:color w:val="auto"/>
                <w:spacing w:val="6"/>
                <w:kern w:val="0"/>
                <w:sz w:val="24"/>
                <w:szCs w:val="24"/>
                <w:highlight w:val="none"/>
                <w:lang w:val="en-US" w:eastAsia="zh-CN"/>
              </w:rPr>
            </w:pPr>
            <w:r>
              <w:rPr>
                <w:rFonts w:hint="eastAsia" w:ascii="宋体" w:hAnsi="宋体" w:eastAsia="宋体" w:cs="宋体"/>
                <w:b w:val="0"/>
                <w:bCs w:val="0"/>
                <w:color w:val="auto"/>
                <w:spacing w:val="6"/>
                <w:kern w:val="0"/>
                <w:sz w:val="24"/>
                <w:szCs w:val="24"/>
                <w:highlight w:val="none"/>
              </w:rPr>
              <w:t>报价</w:t>
            </w:r>
            <w:r>
              <w:rPr>
                <w:rFonts w:hint="eastAsia" w:ascii="宋体" w:hAnsi="宋体" w:eastAsia="宋体" w:cs="宋体"/>
                <w:b w:val="0"/>
                <w:bCs w:val="0"/>
                <w:color w:val="auto"/>
                <w:spacing w:val="6"/>
                <w:kern w:val="0"/>
                <w:sz w:val="24"/>
                <w:szCs w:val="24"/>
                <w:highlight w:val="none"/>
                <w:lang w:val="en-US" w:eastAsia="zh-CN"/>
              </w:rPr>
              <w:t>要求</w:t>
            </w:r>
          </w:p>
        </w:tc>
        <w:tc>
          <w:tcPr>
            <w:tcW w:w="5355" w:type="dxa"/>
            <w:tcBorders>
              <w:top w:val="single" w:color="auto" w:sz="4" w:space="0"/>
              <w:left w:val="nil"/>
              <w:bottom w:val="single" w:color="auto" w:sz="4" w:space="0"/>
              <w:right w:val="single" w:color="auto" w:sz="4" w:space="0"/>
            </w:tcBorders>
            <w:vAlign w:val="center"/>
          </w:tcPr>
          <w:p w14:paraId="70720F5D">
            <w:pPr>
              <w:pageBreakBefore w:val="0"/>
              <w:kinsoku/>
              <w:overflowPunct/>
              <w:topLinePunct w:val="0"/>
              <w:autoSpaceDE w:val="0"/>
              <w:autoSpaceDN w:val="0"/>
              <w:bidi w:val="0"/>
              <w:adjustRightInd w:val="0"/>
              <w:spacing w:line="360" w:lineRule="auto"/>
              <w:outlineLvl w:val="9"/>
              <w:rPr>
                <w:rFonts w:hint="default" w:ascii="宋体" w:hAnsi="宋体" w:eastAsia="宋体" w:cs="宋体"/>
                <w:color w:val="auto"/>
                <w:spacing w:val="6"/>
                <w:sz w:val="24"/>
                <w:szCs w:val="24"/>
                <w:highlight w:val="none"/>
                <w:lang w:val="en-US" w:eastAsia="zh-CN"/>
              </w:rPr>
            </w:pPr>
            <w:r>
              <w:rPr>
                <w:rFonts w:hint="eastAsia" w:ascii="宋体" w:hAnsi="宋体" w:eastAsia="宋体" w:cs="宋体"/>
                <w:b w:val="0"/>
                <w:bCs w:val="0"/>
                <w:color w:val="auto"/>
                <w:spacing w:val="6"/>
                <w:sz w:val="24"/>
                <w:szCs w:val="24"/>
                <w:highlight w:val="none"/>
                <w:lang w:val="en-US" w:eastAsia="zh-CN"/>
              </w:rPr>
              <w:t>1.</w:t>
            </w:r>
            <w:r>
              <w:rPr>
                <w:rFonts w:hint="eastAsia" w:ascii="宋体" w:hAnsi="宋体" w:eastAsia="宋体" w:cs="宋体"/>
                <w:b w:val="0"/>
                <w:bCs w:val="0"/>
                <w:color w:val="auto"/>
                <w:spacing w:val="6"/>
                <w:sz w:val="24"/>
                <w:szCs w:val="24"/>
                <w:highlight w:val="none"/>
              </w:rPr>
              <w:t>本次磋商为二轮报价，磋商响应文件中为一次报价，二次报价由</w:t>
            </w:r>
            <w:r>
              <w:rPr>
                <w:rFonts w:hint="eastAsia" w:ascii="宋体" w:hAnsi="宋体" w:eastAsia="宋体" w:cs="宋体"/>
                <w:b w:val="0"/>
                <w:bCs w:val="0"/>
                <w:color w:val="auto"/>
                <w:spacing w:val="6"/>
                <w:sz w:val="24"/>
                <w:szCs w:val="24"/>
                <w:highlight w:val="none"/>
                <w:lang w:eastAsia="zh-CN"/>
              </w:rPr>
              <w:t>磋商小组</w:t>
            </w:r>
            <w:r>
              <w:rPr>
                <w:rFonts w:hint="eastAsia" w:ascii="宋体" w:hAnsi="宋体" w:eastAsia="宋体" w:cs="宋体"/>
                <w:b w:val="0"/>
                <w:bCs w:val="0"/>
                <w:color w:val="auto"/>
                <w:spacing w:val="6"/>
                <w:sz w:val="24"/>
                <w:szCs w:val="24"/>
                <w:highlight w:val="none"/>
              </w:rPr>
              <w:t>发起进行报价，二次报价即为最终报价，最终报价为响应文件的一部分。</w:t>
            </w:r>
          </w:p>
        </w:tc>
      </w:tr>
      <w:tr w14:paraId="372F9812">
        <w:tblPrEx>
          <w:tblCellMar>
            <w:top w:w="0" w:type="dxa"/>
            <w:left w:w="108" w:type="dxa"/>
            <w:bottom w:w="0" w:type="dxa"/>
            <w:right w:w="108" w:type="dxa"/>
          </w:tblCellMar>
        </w:tblPrEx>
        <w:trPr>
          <w:trHeight w:val="52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760E6D8C">
            <w:pPr>
              <w:pageBreakBefore w:val="0"/>
              <w:kinsoku/>
              <w:overflowPunct/>
              <w:topLinePunct w:val="0"/>
              <w:bidi w:val="0"/>
              <w:spacing w:line="360" w:lineRule="auto"/>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31</w:t>
            </w:r>
          </w:p>
        </w:tc>
        <w:tc>
          <w:tcPr>
            <w:tcW w:w="2870" w:type="dxa"/>
            <w:tcBorders>
              <w:top w:val="single" w:color="auto" w:sz="4" w:space="0"/>
              <w:left w:val="nil"/>
              <w:bottom w:val="single" w:color="auto" w:sz="4" w:space="0"/>
              <w:right w:val="single" w:color="auto" w:sz="4" w:space="0"/>
            </w:tcBorders>
            <w:vAlign w:val="center"/>
          </w:tcPr>
          <w:p w14:paraId="2D1534C9">
            <w:pPr>
              <w:pageBreakBefore w:val="0"/>
              <w:kinsoku/>
              <w:overflowPunct/>
              <w:topLinePunct w:val="0"/>
              <w:bidi w:val="0"/>
              <w:spacing w:line="360" w:lineRule="auto"/>
              <w:jc w:val="center"/>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val="zh-CN" w:eastAsia="zh-CN"/>
              </w:rPr>
              <w:t>代理服务费</w:t>
            </w:r>
          </w:p>
        </w:tc>
        <w:tc>
          <w:tcPr>
            <w:tcW w:w="5355" w:type="dxa"/>
            <w:tcBorders>
              <w:top w:val="single" w:color="auto" w:sz="4" w:space="0"/>
              <w:left w:val="nil"/>
              <w:bottom w:val="single" w:color="auto" w:sz="4" w:space="0"/>
              <w:right w:val="single" w:color="auto" w:sz="4" w:space="0"/>
            </w:tcBorders>
            <w:vAlign w:val="center"/>
          </w:tcPr>
          <w:p w14:paraId="1C86B570">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1.收取标准：参考河南省招标代理服务收费指导意见（豫招协[2023]002号）规定的收费标准计算。</w:t>
            </w:r>
          </w:p>
          <w:p w14:paraId="3BC6ADA8">
            <w:pPr>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sz w:val="24"/>
                <w:highlight w:val="none"/>
              </w:rPr>
              <w:t>2.收取方式：</w:t>
            </w:r>
            <w:r>
              <w:rPr>
                <w:rFonts w:hint="eastAsia" w:ascii="宋体" w:hAnsi="宋体" w:eastAsia="宋体" w:cs="宋体"/>
                <w:sz w:val="24"/>
                <w:highlight w:val="none"/>
                <w:lang w:eastAsia="zh-CN"/>
              </w:rPr>
              <w:t>成交</w:t>
            </w:r>
            <w:r>
              <w:rPr>
                <w:rFonts w:hint="eastAsia" w:ascii="宋体" w:hAnsi="宋体" w:eastAsia="宋体" w:cs="宋体"/>
                <w:sz w:val="24"/>
                <w:highlight w:val="none"/>
              </w:rPr>
              <w:t>供应商在领取</w:t>
            </w:r>
            <w:r>
              <w:rPr>
                <w:rFonts w:hint="eastAsia" w:ascii="宋体" w:hAnsi="宋体" w:eastAsia="宋体" w:cs="宋体"/>
                <w:sz w:val="24"/>
                <w:highlight w:val="none"/>
                <w:lang w:eastAsia="zh-CN"/>
              </w:rPr>
              <w:t>成交</w:t>
            </w:r>
            <w:r>
              <w:rPr>
                <w:rFonts w:hint="eastAsia" w:ascii="宋体" w:hAnsi="宋体" w:eastAsia="宋体" w:cs="宋体"/>
                <w:sz w:val="24"/>
                <w:highlight w:val="none"/>
              </w:rPr>
              <w:t>通知书时，以现金或转账的方式一次性向代理机构缴纳招标代理服务费。</w:t>
            </w:r>
          </w:p>
        </w:tc>
      </w:tr>
      <w:tr w14:paraId="6DC84726">
        <w:tblPrEx>
          <w:tblCellMar>
            <w:top w:w="0" w:type="dxa"/>
            <w:left w:w="108" w:type="dxa"/>
            <w:bottom w:w="0" w:type="dxa"/>
            <w:right w:w="108" w:type="dxa"/>
          </w:tblCellMar>
        </w:tblPrEx>
        <w:trPr>
          <w:trHeight w:val="52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1105A4E5">
            <w:pPr>
              <w:pageBreakBefore w:val="0"/>
              <w:kinsoku/>
              <w:overflowPunct/>
              <w:topLinePunct w:val="0"/>
              <w:bidi w:val="0"/>
              <w:spacing w:line="360" w:lineRule="auto"/>
              <w:jc w:val="center"/>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w:t>
            </w:r>
          </w:p>
        </w:tc>
        <w:tc>
          <w:tcPr>
            <w:tcW w:w="2870" w:type="dxa"/>
            <w:tcBorders>
              <w:top w:val="single" w:color="auto" w:sz="4" w:space="0"/>
              <w:left w:val="nil"/>
              <w:bottom w:val="single" w:color="auto" w:sz="4" w:space="0"/>
              <w:right w:val="single" w:color="auto" w:sz="4" w:space="0"/>
            </w:tcBorders>
            <w:vAlign w:val="center"/>
          </w:tcPr>
          <w:p w14:paraId="5661153E">
            <w:pPr>
              <w:spacing w:line="500" w:lineRule="exact"/>
              <w:jc w:val="center"/>
              <w:rPr>
                <w:rFonts w:hint="eastAsia" w:ascii="宋体" w:hAnsi="宋体" w:eastAsia="宋体" w:cs="宋体"/>
                <w:color w:val="auto"/>
                <w:sz w:val="24"/>
                <w:szCs w:val="24"/>
                <w:highlight w:val="none"/>
              </w:rPr>
            </w:pPr>
            <w:r>
              <w:rPr>
                <w:rFonts w:hint="eastAsia" w:ascii="宋体" w:hAnsi="宋体" w:eastAsia="宋体"/>
                <w:color w:val="auto"/>
                <w:sz w:val="24"/>
                <w:szCs w:val="24"/>
                <w:highlight w:val="none"/>
              </w:rPr>
              <w:t>履约保证金</w:t>
            </w:r>
          </w:p>
        </w:tc>
        <w:tc>
          <w:tcPr>
            <w:tcW w:w="5355" w:type="dxa"/>
            <w:tcBorders>
              <w:top w:val="single" w:color="auto" w:sz="4" w:space="0"/>
              <w:left w:val="nil"/>
              <w:bottom w:val="single" w:color="auto" w:sz="4" w:space="0"/>
              <w:right w:val="single" w:color="auto" w:sz="4" w:space="0"/>
            </w:tcBorders>
            <w:vAlign w:val="center"/>
          </w:tcPr>
          <w:p w14:paraId="506E6125">
            <w:pPr>
              <w:spacing w:line="500" w:lineRule="exact"/>
              <w:rPr>
                <w:rFonts w:hint="default" w:ascii="宋体" w:hAnsi="宋体" w:eastAsia="宋体" w:cs="宋体"/>
                <w:color w:val="auto"/>
                <w:sz w:val="24"/>
                <w:szCs w:val="24"/>
                <w:highlight w:val="none"/>
                <w:lang w:val="en-US" w:eastAsia="zh-CN"/>
              </w:rPr>
            </w:pPr>
            <w:r>
              <w:rPr>
                <w:rFonts w:hint="eastAsia" w:ascii="宋体" w:hAnsi="宋体" w:eastAsia="宋体"/>
                <w:color w:val="auto"/>
                <w:sz w:val="24"/>
                <w:szCs w:val="24"/>
                <w:highlight w:val="none"/>
                <w:lang w:val="en-US" w:eastAsia="zh-CN"/>
              </w:rPr>
              <w:t>本项目不要求</w:t>
            </w:r>
          </w:p>
        </w:tc>
      </w:tr>
      <w:tr w14:paraId="32233953">
        <w:tblPrEx>
          <w:tblCellMar>
            <w:top w:w="0" w:type="dxa"/>
            <w:left w:w="108" w:type="dxa"/>
            <w:bottom w:w="0" w:type="dxa"/>
            <w:right w:w="108" w:type="dxa"/>
          </w:tblCellMar>
        </w:tblPrEx>
        <w:trPr>
          <w:trHeight w:val="52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543E97B5">
            <w:pPr>
              <w:pageBreakBefore w:val="0"/>
              <w:kinsoku/>
              <w:overflowPunct/>
              <w:topLinePunct w:val="0"/>
              <w:bidi w:val="0"/>
              <w:spacing w:line="360" w:lineRule="auto"/>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33</w:t>
            </w:r>
          </w:p>
        </w:tc>
        <w:tc>
          <w:tcPr>
            <w:tcW w:w="2870" w:type="dxa"/>
            <w:tcBorders>
              <w:top w:val="single" w:color="auto" w:sz="4" w:space="0"/>
              <w:left w:val="nil"/>
              <w:bottom w:val="single" w:color="auto" w:sz="4" w:space="0"/>
              <w:right w:val="single" w:color="auto" w:sz="4" w:space="0"/>
            </w:tcBorders>
            <w:vAlign w:val="center"/>
          </w:tcPr>
          <w:p w14:paraId="6B528743">
            <w:pPr>
              <w:spacing w:line="460" w:lineRule="exact"/>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t>其他</w:t>
            </w:r>
          </w:p>
        </w:tc>
        <w:tc>
          <w:tcPr>
            <w:tcW w:w="5355" w:type="dxa"/>
            <w:tcBorders>
              <w:top w:val="single" w:color="auto" w:sz="4" w:space="0"/>
              <w:left w:val="nil"/>
              <w:bottom w:val="single" w:color="auto" w:sz="4" w:space="0"/>
              <w:right w:val="single" w:color="auto" w:sz="4" w:space="0"/>
            </w:tcBorders>
            <w:vAlign w:val="center"/>
          </w:tcPr>
          <w:p w14:paraId="26061A81">
            <w:pPr>
              <w:pStyle w:val="14"/>
              <w:spacing w:line="360" w:lineRule="auto"/>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1.以投标文件业绩信息为准，可使用电子营业执照。</w:t>
            </w:r>
          </w:p>
          <w:p w14:paraId="4EB920D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.本项目实行资格后审，根据优化营商环境的要求，评标时审查内容以投标（响应）文件为准：</w:t>
            </w:r>
          </w:p>
          <w:p w14:paraId="08255F9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（1）资格评（预）审部分：资格评（预）</w:t>
            </w:r>
            <w:r>
              <w:rPr>
                <w:rFonts w:hint="eastAsia" w:ascii="宋体" w:hAnsi="宋体" w:eastAsia="宋体" w:cs="宋体"/>
                <w:color w:val="auto"/>
                <w:sz w:val="24"/>
                <w:szCs w:val="24"/>
                <w:highlight w:val="none"/>
                <w:lang w:eastAsia="zh-CN"/>
              </w:rPr>
              <w:t>审</w:t>
            </w:r>
            <w:r>
              <w:rPr>
                <w:rFonts w:hint="eastAsia" w:ascii="宋体" w:hAnsi="宋体" w:eastAsia="宋体" w:cs="宋体"/>
                <w:color w:val="auto"/>
                <w:sz w:val="24"/>
                <w:szCs w:val="24"/>
                <w:highlight w:val="none"/>
              </w:rPr>
              <w:t>以投标（响应）文件为准，其上传资料真实性由供应商自行承担，同时，供应商要完善主体库。</w:t>
            </w:r>
          </w:p>
          <w:p w14:paraId="3BBA5BA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（2）评标打分部分：评标打分部分仍按照100分制原则进行，涉及到资格审查、企业荣誉、人员业绩、企业业绩等计分部分时，以供应商自行上传到投标（响应）文件中的相应内容为准。</w:t>
            </w:r>
          </w:p>
          <w:p w14:paraId="564DEFFE">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4"/>
                <w:highlight w:val="none"/>
              </w:rPr>
              <w:t xml:space="preserve">（3）响应文件编制部分：在招标文件中要求供应商按照投标（响应）文件格式进行投标文件编制，在投标文件编制时，应明确将投标单位企业基本情况、资质情况、人员情况、财务情况、业绩情况编入投标文件，便于进行资格审查及评标打分以投标文件业绩信息为准，可使用电子营业执照。 </w:t>
            </w:r>
          </w:p>
        </w:tc>
      </w:tr>
      <w:tr w14:paraId="24275C1B">
        <w:tblPrEx>
          <w:tblCellMar>
            <w:top w:w="0" w:type="dxa"/>
            <w:left w:w="108" w:type="dxa"/>
            <w:bottom w:w="0" w:type="dxa"/>
            <w:right w:w="108" w:type="dxa"/>
          </w:tblCellMar>
        </w:tblPrEx>
        <w:trPr>
          <w:trHeight w:val="52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077B45BF">
            <w:pPr>
              <w:pageBreakBefore w:val="0"/>
              <w:kinsoku/>
              <w:overflowPunct/>
              <w:topLinePunct w:val="0"/>
              <w:bidi w:val="0"/>
              <w:spacing w:line="360" w:lineRule="auto"/>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34</w:t>
            </w:r>
          </w:p>
        </w:tc>
        <w:tc>
          <w:tcPr>
            <w:tcW w:w="2870" w:type="dxa"/>
            <w:tcBorders>
              <w:top w:val="single" w:color="auto" w:sz="4" w:space="0"/>
              <w:left w:val="nil"/>
              <w:bottom w:val="single" w:color="auto" w:sz="4" w:space="0"/>
              <w:right w:val="single" w:color="auto" w:sz="4" w:space="0"/>
            </w:tcBorders>
            <w:vAlign w:val="center"/>
          </w:tcPr>
          <w:p w14:paraId="26B696EC">
            <w:pPr>
              <w:pageBreakBefore w:val="0"/>
              <w:widowControl/>
              <w:kinsoku/>
              <w:overflowPunct/>
              <w:topLinePunct w:val="0"/>
              <w:bidi w:val="0"/>
              <w:spacing w:line="360" w:lineRule="auto"/>
              <w:jc w:val="center"/>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电子化注意事项</w:t>
            </w:r>
          </w:p>
        </w:tc>
        <w:tc>
          <w:tcPr>
            <w:tcW w:w="5355" w:type="dxa"/>
            <w:tcBorders>
              <w:top w:val="single" w:color="auto" w:sz="4" w:space="0"/>
              <w:left w:val="nil"/>
              <w:bottom w:val="single" w:color="auto" w:sz="4" w:space="0"/>
              <w:right w:val="single" w:color="auto" w:sz="4" w:space="0"/>
            </w:tcBorders>
            <w:vAlign w:val="center"/>
          </w:tcPr>
          <w:p w14:paraId="2D711FBD">
            <w:pPr>
              <w:spacing w:line="360" w:lineRule="auto"/>
              <w:rPr>
                <w:rFonts w:hint="eastAsia" w:ascii="宋体" w:hAnsi="宋体" w:cs="宋体"/>
                <w:color w:val="auto"/>
                <w:sz w:val="24"/>
                <w:highlight w:val="none"/>
              </w:rPr>
            </w:pPr>
            <w:r>
              <w:rPr>
                <w:rFonts w:hint="eastAsia" w:ascii="宋体" w:hAnsi="宋体" w:cs="宋体"/>
                <w:color w:val="auto"/>
                <w:sz w:val="24"/>
                <w:highlight w:val="none"/>
              </w:rPr>
              <w:t>具体要求：本项目为电子化、无纸化交易项目，磋商响应文件是供应商通过中心磋商响应文件制作系统制作，并经过签章和加密后生成的电子版磋商响应文件。</w:t>
            </w:r>
          </w:p>
          <w:p w14:paraId="18445874">
            <w:pPr>
              <w:spacing w:line="360" w:lineRule="auto"/>
              <w:rPr>
                <w:rFonts w:hint="eastAsia" w:ascii="宋体" w:hAnsi="宋体" w:cs="宋体"/>
                <w:color w:val="auto"/>
                <w:sz w:val="24"/>
                <w:highlight w:val="none"/>
              </w:rPr>
            </w:pPr>
            <w:r>
              <w:rPr>
                <w:rFonts w:hint="eastAsia" w:ascii="宋体" w:hAnsi="宋体" w:cs="宋体"/>
                <w:color w:val="auto"/>
                <w:sz w:val="24"/>
                <w:highlight w:val="none"/>
              </w:rPr>
              <w:t>电子化磋商响应文件具体制作文件请点击http://gzjy.smx.gov.cn/fwzn/004003/20200330/0de4b849-7eb7-4f4e-9a30-ae8b6a961d7f.html进行下载。</w:t>
            </w:r>
          </w:p>
          <w:p w14:paraId="4562F2BB">
            <w:pPr>
              <w:spacing w:line="360" w:lineRule="auto"/>
              <w:rPr>
                <w:rFonts w:hint="eastAsia" w:ascii="宋体" w:hAnsi="宋体" w:cs="宋体"/>
                <w:color w:val="auto"/>
                <w:sz w:val="24"/>
                <w:highlight w:val="none"/>
              </w:rPr>
            </w:pPr>
            <w:r>
              <w:rPr>
                <w:rFonts w:hint="eastAsia" w:ascii="宋体" w:hAnsi="宋体" w:cs="宋体"/>
                <w:b/>
                <w:color w:val="auto"/>
                <w:sz w:val="24"/>
                <w:highlight w:val="none"/>
              </w:rPr>
              <w:t>温馨提示：本项目为电子化、无纸化交易项目，为保证您能投标成功，请需仔细阅读以下条款。</w:t>
            </w:r>
          </w:p>
          <w:p w14:paraId="737410D8">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一、电子化投标</w:t>
            </w:r>
          </w:p>
          <w:p w14:paraId="509CB034">
            <w:pPr>
              <w:spacing w:line="360" w:lineRule="auto"/>
              <w:rPr>
                <w:rFonts w:hint="eastAsia" w:ascii="宋体" w:hAnsi="宋体" w:cs="宋体"/>
                <w:b/>
                <w:color w:val="auto"/>
                <w:sz w:val="24"/>
                <w:highlight w:val="none"/>
              </w:rPr>
            </w:pPr>
            <w:r>
              <w:rPr>
                <w:rFonts w:hint="eastAsia" w:ascii="宋体" w:hAnsi="宋体" w:cs="宋体"/>
                <w:color w:val="auto"/>
                <w:sz w:val="24"/>
                <w:highlight w:val="none"/>
              </w:rPr>
              <w:t>（一）网上磋商保证金的缴纳</w:t>
            </w:r>
          </w:p>
          <w:p w14:paraId="23C4D63D">
            <w:pPr>
              <w:spacing w:line="360" w:lineRule="auto"/>
              <w:ind w:firstLine="120" w:firstLineChars="50"/>
              <w:rPr>
                <w:rFonts w:hint="eastAsia" w:ascii="宋体" w:hAnsi="宋体" w:cs="宋体"/>
                <w:color w:val="auto"/>
                <w:sz w:val="24"/>
                <w:highlight w:val="none"/>
              </w:rPr>
            </w:pPr>
            <w:r>
              <w:rPr>
                <w:rFonts w:hint="eastAsia" w:ascii="宋体" w:hAnsi="宋体" w:cs="宋体"/>
                <w:color w:val="auto"/>
                <w:sz w:val="24"/>
                <w:szCs w:val="24"/>
                <w:highlight w:val="none"/>
              </w:rPr>
              <w:t>根据《河南省财政厅关于优化政府采购营商环境有关问题的通知》（豫财购【2019】4号）第6条的规定，磋商保证金不再收取</w:t>
            </w:r>
            <w:r>
              <w:rPr>
                <w:rFonts w:hint="eastAsia" w:ascii="宋体" w:hAnsi="宋体" w:cs="宋体"/>
                <w:color w:val="auto"/>
                <w:sz w:val="24"/>
                <w:highlight w:val="none"/>
              </w:rPr>
              <w:t>。</w:t>
            </w:r>
          </w:p>
          <w:p w14:paraId="5FF12AAB">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（二）电子化磋商响应文件的签章</w:t>
            </w:r>
          </w:p>
          <w:p w14:paraId="1D97C9D1">
            <w:pPr>
              <w:spacing w:line="360" w:lineRule="auto"/>
              <w:ind w:firstLine="120" w:firstLineChars="50"/>
              <w:rPr>
                <w:rFonts w:hint="eastAsia" w:ascii="宋体" w:hAnsi="宋体" w:cs="宋体"/>
                <w:color w:val="auto"/>
                <w:sz w:val="24"/>
                <w:highlight w:val="none"/>
              </w:rPr>
            </w:pPr>
            <w:r>
              <w:rPr>
                <w:rFonts w:hint="eastAsia" w:ascii="宋体" w:hAnsi="宋体" w:cs="宋体"/>
                <w:color w:val="auto"/>
                <w:sz w:val="24"/>
                <w:highlight w:val="none"/>
              </w:rPr>
              <w:t>1、供应商在生成电子化磋商响应文件后，应对电子化磋商响应文件进行签章，未进行签章的视为无效投标。</w:t>
            </w:r>
          </w:p>
          <w:p w14:paraId="12F95A15">
            <w:pPr>
              <w:spacing w:line="360" w:lineRule="auto"/>
              <w:ind w:firstLine="120" w:firstLineChars="5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
                <w:color w:val="auto"/>
                <w:sz w:val="24"/>
                <w:highlight w:val="none"/>
              </w:rPr>
              <w:t>竞争性磋商文件中要求磋商响应供应商盖章的，以签盖单位章为准；要求法定代表人</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自然人或者经营者</w:t>
            </w:r>
            <w:r>
              <w:rPr>
                <w:rFonts w:hint="eastAsia" w:ascii="宋体" w:hAnsi="宋体" w:cs="宋体"/>
                <w:b/>
                <w:color w:val="auto"/>
                <w:sz w:val="24"/>
                <w:highlight w:val="none"/>
                <w:lang w:eastAsia="zh-CN"/>
              </w:rPr>
              <w:t>）</w:t>
            </w:r>
            <w:r>
              <w:rPr>
                <w:rFonts w:hint="eastAsia" w:ascii="宋体" w:hAnsi="宋体" w:cs="宋体"/>
                <w:b/>
                <w:color w:val="auto"/>
                <w:sz w:val="24"/>
                <w:highlight w:val="none"/>
              </w:rPr>
              <w:t>或授权代理人签章的，以签盖法定代表人</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自然人或者经营者</w:t>
            </w:r>
            <w:r>
              <w:rPr>
                <w:rFonts w:hint="eastAsia" w:ascii="宋体" w:hAnsi="宋体" w:cs="宋体"/>
                <w:b/>
                <w:color w:val="auto"/>
                <w:sz w:val="24"/>
                <w:highlight w:val="none"/>
                <w:lang w:eastAsia="zh-CN"/>
              </w:rPr>
              <w:t>）</w:t>
            </w:r>
            <w:r>
              <w:rPr>
                <w:rFonts w:hint="eastAsia" w:ascii="宋体" w:hAnsi="宋体" w:cs="宋体"/>
                <w:b/>
                <w:color w:val="auto"/>
                <w:sz w:val="24"/>
                <w:highlight w:val="none"/>
              </w:rPr>
              <w:t>签章为准</w:t>
            </w:r>
            <w:r>
              <w:rPr>
                <w:rFonts w:hint="eastAsia" w:ascii="宋体" w:hAnsi="宋体" w:cs="宋体"/>
                <w:color w:val="auto"/>
                <w:sz w:val="24"/>
                <w:highlight w:val="none"/>
              </w:rPr>
              <w:t>。</w:t>
            </w:r>
          </w:p>
          <w:p w14:paraId="512DAD1B">
            <w:pPr>
              <w:spacing w:line="360" w:lineRule="auto"/>
              <w:rPr>
                <w:rFonts w:hint="eastAsia" w:ascii="宋体" w:hAnsi="宋体" w:cs="宋体"/>
                <w:b/>
                <w:color w:val="auto"/>
                <w:sz w:val="24"/>
                <w:highlight w:val="none"/>
              </w:rPr>
            </w:pPr>
            <w:r>
              <w:rPr>
                <w:rFonts w:hint="eastAsia" w:ascii="宋体" w:hAnsi="宋体" w:cs="宋体"/>
                <w:color w:val="auto"/>
                <w:sz w:val="24"/>
                <w:highlight w:val="none"/>
              </w:rPr>
              <w:t>（三）电子化磋商响应文件的格式及上传投标</w:t>
            </w:r>
          </w:p>
          <w:p w14:paraId="7E377645">
            <w:pPr>
              <w:spacing w:line="360" w:lineRule="auto"/>
              <w:ind w:firstLine="120" w:firstLineChars="50"/>
              <w:rPr>
                <w:rFonts w:hint="eastAsia" w:ascii="宋体" w:hAnsi="宋体" w:cs="宋体"/>
                <w:color w:val="auto"/>
                <w:sz w:val="24"/>
                <w:highlight w:val="none"/>
              </w:rPr>
            </w:pPr>
            <w:r>
              <w:rPr>
                <w:rFonts w:hint="eastAsia" w:ascii="宋体" w:hAnsi="宋体" w:cs="宋体"/>
                <w:color w:val="auto"/>
                <w:sz w:val="24"/>
                <w:highlight w:val="none"/>
              </w:rPr>
              <w:t>1、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2BE0235A">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2、电子化磋商响应文件应在投标截止时间前成功上传至三门峡市公共资源电子化交易系统。至投标截止时间止，仍未上传成功的电子化磋商响应文件将不予接收。</w:t>
            </w:r>
          </w:p>
          <w:p w14:paraId="499209B0">
            <w:pPr>
              <w:spacing w:line="360" w:lineRule="auto"/>
              <w:ind w:firstLine="241" w:firstLineChars="100"/>
              <w:rPr>
                <w:rFonts w:hint="eastAsia" w:ascii="宋体" w:hAnsi="宋体" w:cs="宋体"/>
                <w:color w:val="auto"/>
                <w:sz w:val="24"/>
                <w:highlight w:val="none"/>
              </w:rPr>
            </w:pPr>
            <w:r>
              <w:rPr>
                <w:rFonts w:hint="eastAsia" w:ascii="宋体" w:hAnsi="宋体" w:cs="宋体"/>
                <w:b/>
                <w:color w:val="auto"/>
                <w:sz w:val="24"/>
                <w:highlight w:val="none"/>
              </w:rPr>
              <w:t>注：</w:t>
            </w:r>
            <w:r>
              <w:rPr>
                <w:rFonts w:hint="eastAsia" w:ascii="宋体" w:hAnsi="宋体" w:cs="宋体"/>
                <w:color w:val="auto"/>
                <w:sz w:val="24"/>
                <w:highlight w:val="none"/>
              </w:rPr>
              <w:t>如按照电子化投标操作教材制作完成的电子化磋商响应文件无法上传的，供应商应在</w:t>
            </w:r>
            <w:r>
              <w:rPr>
                <w:rFonts w:hint="eastAsia" w:ascii="宋体" w:hAnsi="宋体" w:cs="宋体"/>
                <w:b/>
                <w:color w:val="auto"/>
                <w:sz w:val="24"/>
                <w:highlight w:val="none"/>
              </w:rPr>
              <w:t>投标截止时间前尽早的</w:t>
            </w:r>
            <w:r>
              <w:rPr>
                <w:rFonts w:hint="eastAsia" w:ascii="宋体" w:hAnsi="宋体" w:cs="宋体"/>
                <w:color w:val="auto"/>
                <w:sz w:val="24"/>
                <w:highlight w:val="none"/>
              </w:rPr>
              <w:t>联系中心技术人员，以便有充分的时间进行处理。</w:t>
            </w:r>
            <w:r>
              <w:rPr>
                <w:rFonts w:hint="eastAsia" w:ascii="宋体" w:hAnsi="宋体" w:cs="宋体"/>
                <w:b/>
                <w:color w:val="auto"/>
                <w:sz w:val="24"/>
                <w:highlight w:val="none"/>
              </w:rPr>
              <w:t>供应商应充分考虑到处理技术问题和上传数据等工作所需的时间问题，磋商响应文件未在投标截止时间前成功上传的，其磋商响应文件不予接收。</w:t>
            </w:r>
          </w:p>
          <w:p w14:paraId="19E5C253">
            <w:pPr>
              <w:spacing w:line="360" w:lineRule="auto"/>
              <w:rPr>
                <w:rFonts w:hint="eastAsia" w:ascii="宋体" w:hAnsi="宋体" w:cs="宋体"/>
                <w:color w:val="auto"/>
                <w:sz w:val="24"/>
                <w:highlight w:val="none"/>
              </w:rPr>
            </w:pPr>
            <w:r>
              <w:rPr>
                <w:rFonts w:hint="eastAsia" w:ascii="宋体" w:hAnsi="宋体" w:cs="宋体"/>
                <w:color w:val="auto"/>
                <w:sz w:val="24"/>
                <w:highlight w:val="none"/>
              </w:rPr>
              <w:t>（四）电子化项目开标、解密、评标</w:t>
            </w:r>
          </w:p>
          <w:p w14:paraId="2F235087">
            <w:pPr>
              <w:spacing w:line="360" w:lineRule="auto"/>
              <w:ind w:firstLine="120" w:firstLineChars="50"/>
              <w:rPr>
                <w:rFonts w:hint="eastAsia" w:ascii="宋体" w:hAnsi="宋体" w:cs="宋体"/>
                <w:color w:val="auto"/>
                <w:sz w:val="24"/>
                <w:highlight w:val="none"/>
              </w:rPr>
            </w:pPr>
            <w:r>
              <w:rPr>
                <w:rFonts w:hint="eastAsia" w:ascii="宋体" w:hAnsi="宋体" w:cs="宋体"/>
                <w:color w:val="auto"/>
                <w:sz w:val="24"/>
                <w:highlight w:val="none"/>
              </w:rPr>
              <w:t>1、本项目采</w:t>
            </w:r>
            <w:r>
              <w:rPr>
                <w:rFonts w:hint="eastAsia" w:ascii="宋体" w:hAnsi="宋体" w:cs="宋体"/>
                <w:b w:val="0"/>
                <w:bCs w:val="0"/>
                <w:color w:val="auto"/>
                <w:sz w:val="24"/>
                <w:highlight w:val="none"/>
              </w:rPr>
              <w:t>用电子化、无纸化进行</w:t>
            </w:r>
            <w:r>
              <w:rPr>
                <w:rFonts w:hint="eastAsia" w:ascii="宋体" w:hAnsi="宋体" w:cs="宋体"/>
                <w:color w:val="auto"/>
                <w:sz w:val="24"/>
                <w:highlight w:val="none"/>
              </w:rPr>
              <w:t>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226FBC6B">
            <w:pPr>
              <w:spacing w:line="360" w:lineRule="auto"/>
              <w:ind w:firstLine="120" w:firstLineChars="50"/>
              <w:rPr>
                <w:rFonts w:hint="eastAsia" w:ascii="宋体" w:hAnsi="宋体" w:cs="宋体"/>
                <w:color w:val="auto"/>
                <w:sz w:val="24"/>
                <w:highlight w:val="none"/>
              </w:rPr>
            </w:pPr>
            <w:r>
              <w:rPr>
                <w:rFonts w:hint="eastAsia" w:ascii="宋体" w:hAnsi="宋体" w:cs="宋体"/>
                <w:color w:val="auto"/>
                <w:sz w:val="24"/>
                <w:highlight w:val="none"/>
              </w:rPr>
              <w:t>2、电子化磋商响应文件采用一次加密方式。开标时，由供应商使用CA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w:t>
            </w:r>
          </w:p>
          <w:p w14:paraId="3660A352">
            <w:pPr>
              <w:spacing w:line="360" w:lineRule="auto"/>
              <w:ind w:firstLine="120" w:firstLineChars="50"/>
              <w:rPr>
                <w:rFonts w:hint="eastAsia" w:ascii="宋体" w:hAnsi="宋体" w:cs="宋体"/>
                <w:b/>
                <w:color w:val="auto"/>
                <w:sz w:val="24"/>
                <w:highlight w:val="none"/>
              </w:rPr>
            </w:pPr>
            <w:r>
              <w:rPr>
                <w:rFonts w:hint="eastAsia" w:ascii="宋体" w:hAnsi="宋体" w:cs="宋体"/>
                <w:color w:val="auto"/>
                <w:sz w:val="24"/>
                <w:highlight w:val="none"/>
              </w:rPr>
              <w:t>3、电子化磋商响应文件解密异常的处理</w:t>
            </w:r>
          </w:p>
          <w:p w14:paraId="22320BB3">
            <w:pPr>
              <w:spacing w:line="360" w:lineRule="auto"/>
              <w:ind w:firstLine="120" w:firstLineChars="50"/>
              <w:rPr>
                <w:rFonts w:hint="eastAsia" w:ascii="宋体" w:hAnsi="宋体" w:cs="宋体"/>
                <w:color w:val="auto"/>
                <w:sz w:val="24"/>
                <w:highlight w:val="none"/>
              </w:rPr>
            </w:pPr>
            <w:r>
              <w:rPr>
                <w:rFonts w:hint="eastAsia" w:ascii="宋体" w:hAnsi="宋体" w:cs="宋体"/>
                <w:color w:val="auto"/>
                <w:sz w:val="24"/>
                <w:highlight w:val="none"/>
              </w:rPr>
              <w:t>如出现供应商的电子磋商响应文件无法解密等异常情况，供应商应及时致电中介服务机构说明。磋商响应文件异常，按以下步骤进行处理：</w:t>
            </w:r>
          </w:p>
          <w:p w14:paraId="2D29A9C0">
            <w:pPr>
              <w:spacing w:line="360" w:lineRule="auto"/>
              <w:rPr>
                <w:rFonts w:hint="eastAsia" w:ascii="宋体" w:hAnsi="宋体" w:cs="宋体"/>
                <w:color w:val="auto"/>
                <w:sz w:val="24"/>
                <w:highlight w:val="none"/>
              </w:rPr>
            </w:pPr>
            <w:r>
              <w:rPr>
                <w:rFonts w:hint="eastAsia" w:ascii="宋体" w:hAnsi="宋体" w:cs="宋体"/>
                <w:color w:val="auto"/>
                <w:sz w:val="24"/>
                <w:highlight w:val="none"/>
              </w:rPr>
              <w:t>（1）首先由技术人员进行问题排查。</w:t>
            </w:r>
          </w:p>
          <w:p w14:paraId="6D9D894F">
            <w:pPr>
              <w:spacing w:line="360" w:lineRule="auto"/>
              <w:rPr>
                <w:rFonts w:hint="eastAsia" w:ascii="宋体" w:hAnsi="宋体" w:cs="宋体"/>
                <w:color w:val="auto"/>
                <w:sz w:val="24"/>
                <w:highlight w:val="none"/>
              </w:rPr>
            </w:pPr>
            <w:r>
              <w:rPr>
                <w:rFonts w:hint="eastAsia" w:ascii="宋体" w:hAnsi="宋体" w:cs="宋体"/>
                <w:color w:val="auto"/>
                <w:sz w:val="24"/>
                <w:highlight w:val="none"/>
              </w:rPr>
              <w:t>（2）经技术人员排查后，是供应商文件自身问题导致磋商响应文件无法解密的，该磋商响应文件将不予接收、解密。开标会议继续进行。</w:t>
            </w:r>
          </w:p>
          <w:p w14:paraId="1EE9DD4B">
            <w:pPr>
              <w:spacing w:line="360" w:lineRule="auto"/>
              <w:rPr>
                <w:rFonts w:hint="eastAsia" w:ascii="宋体" w:hAnsi="宋体" w:cs="宋体"/>
                <w:color w:val="auto"/>
                <w:sz w:val="24"/>
                <w:highlight w:val="none"/>
              </w:rPr>
            </w:pPr>
            <w:r>
              <w:rPr>
                <w:rFonts w:hint="eastAsia" w:ascii="宋体" w:hAnsi="宋体" w:cs="宋体"/>
                <w:color w:val="auto"/>
                <w:sz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4CCB39ED">
            <w:pPr>
              <w:spacing w:line="360" w:lineRule="auto"/>
              <w:rPr>
                <w:rFonts w:hint="eastAsia" w:ascii="宋体" w:hAnsi="宋体" w:cs="宋体"/>
                <w:color w:val="auto"/>
                <w:sz w:val="24"/>
                <w:highlight w:val="none"/>
              </w:rPr>
            </w:pPr>
            <w:r>
              <w:rPr>
                <w:rFonts w:hint="eastAsia" w:ascii="宋体" w:hAnsi="宋体" w:cs="宋体"/>
                <w:color w:val="auto"/>
                <w:sz w:val="24"/>
                <w:highlight w:val="none"/>
              </w:rPr>
              <w:t>4、待所有供应商磋商响应文件解密完成后，由中介服务机构操作，对所有已解密磋商响应文件</w:t>
            </w:r>
            <w:r>
              <w:rPr>
                <w:rFonts w:hint="eastAsia" w:ascii="宋体" w:hAnsi="宋体" w:cs="宋体"/>
                <w:color w:val="auto"/>
                <w:sz w:val="24"/>
                <w:highlight w:val="none"/>
                <w:lang w:eastAsia="zh-CN"/>
              </w:rPr>
              <w:t>继续</w:t>
            </w:r>
            <w:r>
              <w:rPr>
                <w:rFonts w:hint="eastAsia" w:ascii="宋体" w:hAnsi="宋体" w:cs="宋体"/>
                <w:color w:val="auto"/>
                <w:sz w:val="24"/>
                <w:highlight w:val="none"/>
              </w:rPr>
              <w:t>进行</w:t>
            </w:r>
            <w:r>
              <w:rPr>
                <w:rFonts w:hint="eastAsia" w:ascii="宋体" w:hAnsi="宋体" w:cs="宋体"/>
                <w:color w:val="auto"/>
                <w:sz w:val="24"/>
                <w:highlight w:val="none"/>
                <w:lang w:eastAsia="zh-CN"/>
              </w:rPr>
              <w:t>开标，直至开标会议结束</w:t>
            </w:r>
            <w:r>
              <w:rPr>
                <w:rFonts w:hint="eastAsia" w:ascii="宋体" w:hAnsi="宋体" w:cs="宋体"/>
                <w:color w:val="auto"/>
                <w:sz w:val="24"/>
                <w:highlight w:val="none"/>
              </w:rPr>
              <w:t>。</w:t>
            </w:r>
          </w:p>
          <w:p w14:paraId="3F094424">
            <w:pPr>
              <w:spacing w:line="360" w:lineRule="auto"/>
              <w:rPr>
                <w:rFonts w:hint="eastAsia" w:ascii="宋体" w:hAnsi="宋体" w:cs="宋体"/>
                <w:color w:val="auto"/>
                <w:sz w:val="24"/>
                <w:highlight w:val="none"/>
              </w:rPr>
            </w:pPr>
            <w:r>
              <w:rPr>
                <w:rFonts w:hint="eastAsia" w:ascii="宋体" w:hAnsi="宋体" w:cs="宋体"/>
                <w:b/>
                <w:color w:val="auto"/>
                <w:sz w:val="24"/>
                <w:highlight w:val="none"/>
              </w:rPr>
              <w:t>供应商应保证在开标期间电话、电脑、网络能够正常工作，供应商因停电、电脑病毒、网络堵塞等原因，未在规定的解密时间内对磋商响应文件进行解密的，其磋商响应文件不予接收。</w:t>
            </w:r>
          </w:p>
          <w:p w14:paraId="2E234498">
            <w:pPr>
              <w:spacing w:line="360" w:lineRule="auto"/>
              <w:rPr>
                <w:rFonts w:hint="eastAsia" w:ascii="宋体" w:hAnsi="宋体" w:cs="宋体"/>
                <w:color w:val="auto"/>
                <w:sz w:val="24"/>
                <w:highlight w:val="none"/>
              </w:rPr>
            </w:pPr>
            <w:r>
              <w:rPr>
                <w:rFonts w:hint="eastAsia" w:ascii="宋体" w:hAnsi="宋体" w:cs="宋体"/>
                <w:color w:val="auto"/>
                <w:sz w:val="24"/>
                <w:highlight w:val="none"/>
              </w:rPr>
              <w:t>5、评标时，评标委员会对电子化磋商响应文件有质疑的，将通过电子化交易系统对供应商发起质疑，并在监督人员的监督下，用免提模式致电需要答复的供应商对质疑进行回复。供应商的回复文件必须以经过供应商和其法定代表人</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自然人或者经营者</w:t>
            </w:r>
            <w:r>
              <w:rPr>
                <w:rFonts w:hint="eastAsia" w:ascii="宋体" w:hAnsi="宋体" w:cs="宋体"/>
                <w:color w:val="auto"/>
                <w:sz w:val="24"/>
                <w:highlight w:val="none"/>
                <w:lang w:eastAsia="zh-CN"/>
              </w:rPr>
              <w:t>）</w:t>
            </w:r>
            <w:r>
              <w:rPr>
                <w:rFonts w:hint="eastAsia" w:ascii="宋体" w:hAnsi="宋体" w:cs="宋体"/>
                <w:color w:val="auto"/>
                <w:sz w:val="24"/>
                <w:highlight w:val="none"/>
              </w:rPr>
              <w:t>签章的PDF格式文件为准，并通过电子化交易系统提交至评标委员会。</w:t>
            </w:r>
          </w:p>
          <w:p w14:paraId="6A479BD7">
            <w:pPr>
              <w:spacing w:line="360" w:lineRule="auto"/>
              <w:rPr>
                <w:rFonts w:hint="eastAsia" w:ascii="宋体" w:hAnsi="宋体" w:cs="宋体"/>
                <w:color w:val="auto"/>
                <w:sz w:val="24"/>
                <w:highlight w:val="none"/>
              </w:rPr>
            </w:pPr>
            <w:r>
              <w:rPr>
                <w:rFonts w:hint="eastAsia" w:ascii="宋体" w:hAnsi="宋体" w:cs="宋体"/>
                <w:color w:val="auto"/>
                <w:sz w:val="24"/>
                <w:highlight w:val="none"/>
              </w:rPr>
              <w:t>6、如评标委员会对需要回复的供应商连续三次致电未接通的，视为供应商放弃回复，评标委员会将自行对需要回复的内容进行认定。</w:t>
            </w:r>
          </w:p>
          <w:p w14:paraId="4DBBCA8D">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二、相关</w:t>
            </w:r>
            <w:r>
              <w:rPr>
                <w:rFonts w:hint="eastAsia" w:ascii="宋体" w:hAnsi="宋体" w:cs="宋体"/>
                <w:b/>
                <w:bCs/>
                <w:color w:val="auto"/>
                <w:sz w:val="24"/>
                <w:highlight w:val="none"/>
                <w:lang w:val="en-US" w:eastAsia="zh-CN"/>
              </w:rPr>
              <w:t>资料</w:t>
            </w:r>
            <w:r>
              <w:rPr>
                <w:rFonts w:hint="eastAsia" w:ascii="宋体" w:hAnsi="宋体" w:cs="宋体"/>
                <w:b/>
                <w:bCs/>
                <w:color w:val="auto"/>
                <w:sz w:val="24"/>
                <w:highlight w:val="none"/>
              </w:rPr>
              <w:t>的提交</w:t>
            </w:r>
          </w:p>
          <w:p w14:paraId="0478AD2E">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本项目实行资格后审，</w:t>
            </w:r>
            <w:r>
              <w:rPr>
                <w:rFonts w:hint="eastAsia" w:ascii="宋体" w:hAnsi="宋体" w:cs="宋体"/>
                <w:b/>
                <w:bCs/>
                <w:color w:val="auto"/>
                <w:sz w:val="24"/>
                <w:highlight w:val="none"/>
              </w:rPr>
              <w:t>以</w:t>
            </w:r>
            <w:r>
              <w:rPr>
                <w:rFonts w:hint="eastAsia" w:ascii="宋体" w:hAnsi="宋体" w:cs="宋体"/>
                <w:b/>
                <w:bCs/>
                <w:color w:val="auto"/>
                <w:sz w:val="24"/>
                <w:highlight w:val="none"/>
                <w:lang w:val="en-US" w:eastAsia="zh-CN"/>
              </w:rPr>
              <w:t>响应</w:t>
            </w:r>
            <w:r>
              <w:rPr>
                <w:rFonts w:hint="eastAsia" w:ascii="宋体" w:hAnsi="宋体" w:cs="宋体"/>
                <w:b/>
                <w:bCs/>
                <w:color w:val="auto"/>
                <w:sz w:val="24"/>
                <w:highlight w:val="none"/>
              </w:rPr>
              <w:t>文件为准</w:t>
            </w:r>
            <w:r>
              <w:rPr>
                <w:rFonts w:hint="eastAsia" w:ascii="宋体" w:hAnsi="宋体" w:cs="宋体"/>
                <w:color w:val="auto"/>
                <w:sz w:val="24"/>
                <w:highlight w:val="none"/>
              </w:rPr>
              <w:t>，其上传资料真实性由</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自行承担。</w:t>
            </w:r>
          </w:p>
          <w:p w14:paraId="1154673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供应商需应仔细阅读操作手册，保证上传内容齐全，真实有效，原件扫描件清晰可辨。因供应商上传原因导致应得分项而未得分或资格审查不合格等情况的，由供应商自行承担责任。</w:t>
            </w:r>
          </w:p>
          <w:p w14:paraId="561254A9">
            <w:pPr>
              <w:pageBreakBefore w:val="0"/>
              <w:kinsoku/>
              <w:overflowPunct/>
              <w:topLinePunct w:val="0"/>
              <w:bidi w:val="0"/>
              <w:snapToGrid w:val="0"/>
              <w:spacing w:line="360" w:lineRule="auto"/>
              <w:outlineLvl w:val="9"/>
              <w:rPr>
                <w:rFonts w:hint="eastAsia" w:ascii="宋体" w:hAnsi="宋体" w:eastAsia="宋体" w:cs="宋体"/>
                <w:color w:val="auto"/>
                <w:spacing w:val="6"/>
                <w:sz w:val="24"/>
                <w:szCs w:val="24"/>
                <w:highlight w:val="none"/>
              </w:rPr>
            </w:pPr>
            <w:r>
              <w:rPr>
                <w:rFonts w:hint="eastAsia" w:ascii="宋体" w:hAnsi="宋体" w:cs="宋体"/>
                <w:b/>
                <w:color w:val="auto"/>
                <w:sz w:val="24"/>
                <w:highlight w:val="none"/>
              </w:rPr>
              <w:t>提示：本项目为电子化、无纸化交易项目，为保证您能投标成功，请需仔细阅读以上条款。</w:t>
            </w:r>
          </w:p>
        </w:tc>
      </w:tr>
    </w:tbl>
    <w:p w14:paraId="4CCFB02D">
      <w:pPr>
        <w:pageBreakBefore w:val="0"/>
        <w:kinsoku/>
        <w:overflowPunct/>
        <w:topLinePunct w:val="0"/>
        <w:bidi w:val="0"/>
        <w:spacing w:line="360" w:lineRule="auto"/>
        <w:ind w:firstLine="200"/>
        <w:outlineLvl w:val="9"/>
        <w:rPr>
          <w:rFonts w:hint="eastAsia" w:ascii="宋体" w:hAnsi="宋体" w:eastAsia="宋体" w:cs="宋体"/>
          <w:b/>
          <w:color w:val="auto"/>
          <w:sz w:val="24"/>
          <w:szCs w:val="24"/>
          <w:highlight w:val="none"/>
        </w:rPr>
      </w:pPr>
    </w:p>
    <w:p w14:paraId="61132678">
      <w:pPr>
        <w:pageBreakBefore w:val="0"/>
        <w:kinsoku/>
        <w:overflowPunct/>
        <w:topLinePunct w:val="0"/>
        <w:bidi w:val="0"/>
        <w:spacing w:line="360" w:lineRule="auto"/>
        <w:ind w:firstLine="200"/>
        <w:outlineLvl w:val="9"/>
        <w:rPr>
          <w:rFonts w:hint="eastAsia" w:ascii="宋体" w:hAnsi="宋体" w:eastAsia="宋体" w:cs="宋体"/>
          <w:b/>
          <w:color w:val="auto"/>
          <w:sz w:val="24"/>
          <w:szCs w:val="24"/>
          <w:highlight w:val="none"/>
        </w:rPr>
      </w:pPr>
    </w:p>
    <w:p w14:paraId="6E87ABB6">
      <w:pPr>
        <w:pageBreakBefore w:val="0"/>
        <w:kinsoku/>
        <w:overflowPunct/>
        <w:topLinePunct w:val="0"/>
        <w:bidi w:val="0"/>
        <w:spacing w:line="360" w:lineRule="auto"/>
        <w:ind w:firstLine="200"/>
        <w:outlineLvl w:val="9"/>
        <w:rPr>
          <w:rFonts w:hint="eastAsia" w:ascii="宋体" w:hAnsi="宋体" w:eastAsia="宋体" w:cs="宋体"/>
          <w:b/>
          <w:color w:val="auto"/>
          <w:sz w:val="24"/>
          <w:szCs w:val="24"/>
          <w:highlight w:val="none"/>
        </w:rPr>
      </w:pPr>
    </w:p>
    <w:p w14:paraId="0E01C989">
      <w:pPr>
        <w:pageBreakBefore w:val="0"/>
        <w:kinsoku/>
        <w:overflowPunct/>
        <w:topLinePunct w:val="0"/>
        <w:bidi w:val="0"/>
        <w:spacing w:line="360" w:lineRule="auto"/>
        <w:ind w:firstLine="200"/>
        <w:outlineLvl w:val="9"/>
        <w:rPr>
          <w:rFonts w:hint="eastAsia" w:ascii="宋体" w:hAnsi="宋体" w:eastAsia="宋体" w:cs="宋体"/>
          <w:b/>
          <w:color w:val="auto"/>
          <w:sz w:val="24"/>
          <w:szCs w:val="24"/>
          <w:highlight w:val="none"/>
        </w:rPr>
      </w:pPr>
    </w:p>
    <w:p w14:paraId="3F346276">
      <w:pPr>
        <w:pageBreakBefore w:val="0"/>
        <w:kinsoku/>
        <w:overflowPunct/>
        <w:topLinePunct w:val="0"/>
        <w:bidi w:val="0"/>
        <w:spacing w:line="360" w:lineRule="auto"/>
        <w:ind w:firstLine="200"/>
        <w:outlineLvl w:val="9"/>
        <w:rPr>
          <w:rFonts w:hint="eastAsia" w:ascii="宋体" w:hAnsi="宋体" w:eastAsia="宋体" w:cs="宋体"/>
          <w:b/>
          <w:color w:val="auto"/>
          <w:sz w:val="24"/>
          <w:szCs w:val="24"/>
          <w:highlight w:val="none"/>
        </w:rPr>
      </w:pPr>
    </w:p>
    <w:p w14:paraId="53075414">
      <w:pPr>
        <w:pageBreakBefore w:val="0"/>
        <w:kinsoku/>
        <w:overflowPunct/>
        <w:topLinePunct w:val="0"/>
        <w:bidi w:val="0"/>
        <w:spacing w:line="360" w:lineRule="auto"/>
        <w:ind w:firstLine="200"/>
        <w:outlineLvl w:val="9"/>
        <w:rPr>
          <w:rFonts w:hint="eastAsia" w:ascii="宋体" w:hAnsi="宋体" w:eastAsia="宋体" w:cs="宋体"/>
          <w:b/>
          <w:color w:val="auto"/>
          <w:sz w:val="24"/>
          <w:szCs w:val="24"/>
          <w:highlight w:val="none"/>
        </w:rPr>
      </w:pPr>
    </w:p>
    <w:p w14:paraId="62D73649">
      <w:pPr>
        <w:pageBreakBefore w:val="0"/>
        <w:kinsoku/>
        <w:overflowPunct/>
        <w:topLinePunct w:val="0"/>
        <w:bidi w:val="0"/>
        <w:spacing w:line="360" w:lineRule="auto"/>
        <w:ind w:firstLine="643" w:firstLineChars="200"/>
        <w:contextualSpacing/>
        <w:jc w:val="center"/>
        <w:outlineLvl w:val="9"/>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总则</w:t>
      </w:r>
    </w:p>
    <w:p w14:paraId="4C675A9E">
      <w:pPr>
        <w:pageBreakBefore w:val="0"/>
        <w:kinsoku/>
        <w:overflowPunct/>
        <w:topLinePunct w:val="0"/>
        <w:bidi w:val="0"/>
        <w:spacing w:line="360" w:lineRule="auto"/>
        <w:ind w:firstLine="482" w:firstLineChars="200"/>
        <w:contextualSpacing/>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1、适用范围</w:t>
      </w:r>
    </w:p>
    <w:p w14:paraId="53D52389">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本竞争性磋商文件仅适用于本次竞争性磋商文件、磋商公告中的所叙述的内容。</w:t>
      </w:r>
    </w:p>
    <w:p w14:paraId="71FF36F7">
      <w:pPr>
        <w:pageBreakBefore w:val="0"/>
        <w:kinsoku/>
        <w:overflowPunct/>
        <w:topLinePunct w:val="0"/>
        <w:bidi w:val="0"/>
        <w:spacing w:line="360" w:lineRule="auto"/>
        <w:ind w:firstLine="482" w:firstLineChars="200"/>
        <w:contextualSpacing/>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2、合格的</w:t>
      </w:r>
      <w:r>
        <w:rPr>
          <w:rFonts w:hint="eastAsia" w:ascii="宋体" w:hAnsi="宋体" w:eastAsia="宋体" w:cs="宋体"/>
          <w:b/>
          <w:bCs/>
          <w:color w:val="auto"/>
          <w:sz w:val="24"/>
          <w:szCs w:val="24"/>
          <w:highlight w:val="none"/>
          <w:lang w:eastAsia="zh-CN"/>
        </w:rPr>
        <w:t>供应商</w:t>
      </w:r>
    </w:p>
    <w:p w14:paraId="0C4A6916">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w:t>
      </w:r>
    </w:p>
    <w:p w14:paraId="1E558F40">
      <w:pPr>
        <w:pageBreakBefore w:val="0"/>
        <w:kinsoku/>
        <w:overflowPunct/>
        <w:topLinePunct w:val="0"/>
        <w:bidi w:val="0"/>
        <w:spacing w:line="360" w:lineRule="auto"/>
        <w:ind w:firstLine="482" w:firstLineChars="200"/>
        <w:contextualSpacing/>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 其他</w:t>
      </w:r>
    </w:p>
    <w:p w14:paraId="7C5231E5">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 </w:t>
      </w:r>
      <w:r>
        <w:rPr>
          <w:rFonts w:hint="eastAsia" w:ascii="宋体" w:hAnsi="宋体" w:eastAsia="宋体" w:cs="宋体"/>
          <w:color w:val="auto"/>
          <w:sz w:val="24"/>
          <w:szCs w:val="24"/>
          <w:highlight w:val="none"/>
          <w:lang w:eastAsia="zh-CN"/>
        </w:rPr>
        <w:t>竞争性</w:t>
      </w:r>
      <w:r>
        <w:rPr>
          <w:rFonts w:hint="eastAsia" w:ascii="宋体" w:hAnsi="宋体" w:eastAsia="宋体" w:cs="宋体"/>
          <w:color w:val="auto"/>
          <w:sz w:val="24"/>
          <w:szCs w:val="24"/>
          <w:highlight w:val="none"/>
        </w:rPr>
        <w:t>磋商结果</w:t>
      </w:r>
      <w:r>
        <w:rPr>
          <w:rFonts w:hint="eastAsia" w:ascii="宋体" w:hAnsi="宋体" w:eastAsia="宋体" w:cs="宋体"/>
          <w:color w:val="auto"/>
          <w:sz w:val="24"/>
          <w:szCs w:val="24"/>
          <w:highlight w:val="none"/>
          <w:lang w:eastAsia="zh-CN"/>
        </w:rPr>
        <w:t>以成交公告的形式，</w:t>
      </w:r>
      <w:r>
        <w:rPr>
          <w:rFonts w:hint="eastAsia" w:ascii="宋体" w:hAnsi="宋体" w:cs="宋体"/>
          <w:color w:val="auto"/>
          <w:sz w:val="24"/>
          <w:szCs w:val="24"/>
          <w:highlight w:val="none"/>
        </w:rPr>
        <w:t>通知所有</w:t>
      </w:r>
      <w:r>
        <w:rPr>
          <w:rFonts w:hint="eastAsia" w:ascii="宋体" w:hAnsi="宋体" w:cs="宋体"/>
          <w:color w:val="auto"/>
          <w:sz w:val="24"/>
          <w:szCs w:val="24"/>
          <w:highlight w:val="none"/>
          <w:lang w:eastAsia="zh-CN"/>
        </w:rPr>
        <w:t>参与</w:t>
      </w:r>
      <w:r>
        <w:rPr>
          <w:rFonts w:hint="eastAsia" w:ascii="宋体" w:hAnsi="宋体" w:cs="宋体"/>
          <w:color w:val="auto"/>
          <w:sz w:val="24"/>
          <w:szCs w:val="24"/>
          <w:highlight w:val="none"/>
        </w:rPr>
        <w:t>磋商响应</w:t>
      </w:r>
      <w:r>
        <w:rPr>
          <w:rFonts w:hint="eastAsia" w:ascii="宋体" w:hAnsi="宋体" w:cs="宋体"/>
          <w:color w:val="auto"/>
          <w:sz w:val="24"/>
          <w:szCs w:val="24"/>
          <w:highlight w:val="none"/>
          <w:lang w:eastAsia="zh-CN"/>
        </w:rPr>
        <w:t>的</w:t>
      </w:r>
      <w:r>
        <w:rPr>
          <w:rFonts w:hint="eastAsia" w:ascii="宋体" w:hAnsi="宋体" w:cs="宋体"/>
          <w:color w:val="auto"/>
          <w:sz w:val="24"/>
          <w:szCs w:val="24"/>
          <w:highlight w:val="none"/>
        </w:rPr>
        <w:t>供应商</w:t>
      </w:r>
      <w:r>
        <w:rPr>
          <w:rFonts w:hint="eastAsia" w:ascii="宋体" w:hAnsi="宋体" w:eastAsia="宋体" w:cs="宋体"/>
          <w:color w:val="auto"/>
          <w:sz w:val="24"/>
          <w:szCs w:val="24"/>
          <w:highlight w:val="none"/>
        </w:rPr>
        <w:t>。</w:t>
      </w:r>
    </w:p>
    <w:p w14:paraId="3D8679D3">
      <w:pPr>
        <w:pageBreakBefore w:val="0"/>
        <w:kinsoku/>
        <w:overflowPunct/>
        <w:topLinePunct w:val="0"/>
        <w:bidi w:val="0"/>
        <w:spacing w:line="360" w:lineRule="auto"/>
        <w:ind w:firstLine="482" w:firstLineChars="200"/>
        <w:contextualSpacing/>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4、磋商文件的组成</w:t>
      </w:r>
    </w:p>
    <w:p w14:paraId="0E553D3B">
      <w:pPr>
        <w:pageBreakBefore w:val="0"/>
        <w:kinsoku/>
        <w:overflowPunct/>
        <w:topLinePunct w:val="0"/>
        <w:bidi w:val="0"/>
        <w:spacing w:line="360" w:lineRule="auto"/>
        <w:ind w:firstLine="480" w:firstLineChars="200"/>
        <w:contextualSpacing/>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4.1具体包括以下内容</w:t>
      </w:r>
    </w:p>
    <w:p w14:paraId="269E1D51">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（1）竞争性磋商公告</w:t>
      </w:r>
    </w:p>
    <w:p w14:paraId="6313E2D4">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w:t>
      </w:r>
    </w:p>
    <w:p w14:paraId="6B4DBD39">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招标控制价编制说明</w:t>
      </w:r>
    </w:p>
    <w:p w14:paraId="1D3464D0">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（4）合同条款</w:t>
      </w:r>
    </w:p>
    <w:p w14:paraId="6ED92797">
      <w:pPr>
        <w:pageBreakBefore w:val="0"/>
        <w:kinsoku/>
        <w:overflowPunct/>
        <w:topLinePunct w:val="0"/>
        <w:bidi w:val="0"/>
        <w:spacing w:line="360" w:lineRule="auto"/>
        <w:ind w:firstLine="480" w:firstLineChars="200"/>
        <w:contextualSpacing/>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评标办法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综合评分法</w:t>
      </w:r>
      <w:r>
        <w:rPr>
          <w:rFonts w:hint="eastAsia" w:ascii="宋体" w:hAnsi="宋体" w:eastAsia="宋体" w:cs="宋体"/>
          <w:color w:val="auto"/>
          <w:sz w:val="24"/>
          <w:szCs w:val="24"/>
          <w:highlight w:val="none"/>
          <w:lang w:eastAsia="zh-CN"/>
        </w:rPr>
        <w:t>）</w:t>
      </w:r>
    </w:p>
    <w:p w14:paraId="7052C43D">
      <w:pPr>
        <w:pageBreakBefore w:val="0"/>
        <w:kinsoku/>
        <w:overflowPunct/>
        <w:topLinePunct w:val="0"/>
        <w:bidi w:val="0"/>
        <w:spacing w:line="360" w:lineRule="auto"/>
        <w:ind w:firstLine="480" w:firstLineChars="200"/>
        <w:contextualSpacing/>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）工程量清单（另附）</w:t>
      </w:r>
    </w:p>
    <w:p w14:paraId="234E8CE4">
      <w:pPr>
        <w:pageBreakBefore w:val="0"/>
        <w:kinsoku/>
        <w:overflowPunct/>
        <w:topLinePunct w:val="0"/>
        <w:bidi w:val="0"/>
        <w:spacing w:line="360" w:lineRule="auto"/>
        <w:ind w:firstLine="480" w:firstLineChars="200"/>
        <w:contextualSpacing/>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图纸（另附）</w:t>
      </w:r>
    </w:p>
    <w:p w14:paraId="6A4324E1">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采购内容及要求</w:t>
      </w:r>
    </w:p>
    <w:p w14:paraId="7E372408">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响应性文件格式</w:t>
      </w:r>
    </w:p>
    <w:p w14:paraId="744C3927">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磋商文件以中文编印，且以中文为准。</w:t>
      </w:r>
    </w:p>
    <w:p w14:paraId="26BBD1C5">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除非有特殊要求，磋商文件不单独提供项目所在地的自然环境、气候条件、公用设施等情况，</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被视为熟悉上述与履行合同有关的一切情况。</w:t>
      </w:r>
    </w:p>
    <w:p w14:paraId="4FD431CB">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磋商文件的澄清和修改</w:t>
      </w:r>
    </w:p>
    <w:p w14:paraId="431B4D29">
      <w:pPr>
        <w:pageBreakBefore w:val="0"/>
        <w:kinsoku/>
        <w:overflowPunct/>
        <w:topLinePunct w:val="0"/>
        <w:bidi w:val="0"/>
        <w:spacing w:line="360" w:lineRule="auto"/>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4.4.1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对磋商文件如有需要澄清或疑问，应当在提交首次响应文件截止之日前，在系统内提出。在规定的时间内未提出疑问的，将被视为对磋商文件完全认可。</w:t>
      </w:r>
    </w:p>
    <w:p w14:paraId="1F3C33AF">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4.4.2</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代理机构将按规定对收到的要求澄清的问题以公告形式予以答复，并构成磋商文件的一部分，对所有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均具有约束力。</w:t>
      </w:r>
    </w:p>
    <w:p w14:paraId="688527DE">
      <w:pPr>
        <w:pageBreakBefore w:val="0"/>
        <w:numPr>
          <w:ilvl w:val="0"/>
          <w:numId w:val="1"/>
        </w:numPr>
        <w:kinsoku/>
        <w:overflowPunct/>
        <w:topLinePunct w:val="0"/>
        <w:bidi w:val="0"/>
        <w:spacing w:line="360" w:lineRule="auto"/>
        <w:ind w:leftChars="200"/>
        <w:contextualSpacing/>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响应性文件的组成</w:t>
      </w:r>
    </w:p>
    <w:p w14:paraId="7D6E36FA">
      <w:pPr>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一标段、二标段：</w:t>
      </w:r>
    </w:p>
    <w:p w14:paraId="3EE0B170">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eastAsia="zh-CN"/>
        </w:rPr>
        <w:t>一、</w:t>
      </w:r>
      <w:r>
        <w:rPr>
          <w:rFonts w:hint="eastAsia" w:ascii="宋体" w:hAnsi="宋体" w:cs="宋体"/>
          <w:sz w:val="24"/>
          <w:szCs w:val="24"/>
          <w:highlight w:val="none"/>
        </w:rPr>
        <w:t>磋商函及磋商函附录；</w:t>
      </w:r>
    </w:p>
    <w:p w14:paraId="05ED4E5F">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eastAsia="zh-CN"/>
        </w:rPr>
        <w:t>二、</w:t>
      </w:r>
      <w:r>
        <w:rPr>
          <w:rFonts w:hint="eastAsia" w:ascii="宋体" w:hAnsi="宋体" w:cs="宋体"/>
          <w:sz w:val="24"/>
          <w:szCs w:val="24"/>
          <w:highlight w:val="none"/>
        </w:rPr>
        <w:t>法定代表人身份证明；</w:t>
      </w:r>
    </w:p>
    <w:p w14:paraId="0FEA3250">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eastAsia="zh-CN"/>
        </w:rPr>
        <w:t>三、</w:t>
      </w:r>
      <w:r>
        <w:rPr>
          <w:rFonts w:hint="eastAsia" w:ascii="宋体" w:hAnsi="宋体" w:cs="宋体"/>
          <w:sz w:val="24"/>
          <w:szCs w:val="24"/>
          <w:highlight w:val="none"/>
        </w:rPr>
        <w:t>授权委托书；</w:t>
      </w:r>
    </w:p>
    <w:p w14:paraId="2F650BD0">
      <w:pPr>
        <w:pStyle w:val="3"/>
        <w:keepLines w:val="0"/>
        <w:spacing w:before="0" w:after="0" w:line="360" w:lineRule="auto"/>
        <w:ind w:left="0" w:firstLine="480" w:firstLineChars="200"/>
        <w:jc w:val="left"/>
        <w:rPr>
          <w:rFonts w:hint="eastAsia" w:ascii="宋体" w:hAnsi="宋体" w:eastAsia="宋体" w:cs="宋体"/>
          <w:sz w:val="24"/>
          <w:szCs w:val="24"/>
          <w:highlight w:val="none"/>
        </w:rPr>
      </w:pPr>
      <w:bookmarkStart w:id="29" w:name="_Toc6755"/>
      <w:r>
        <w:rPr>
          <w:rFonts w:hint="eastAsia" w:ascii="宋体" w:hAnsi="宋体" w:eastAsia="宋体" w:cs="宋体"/>
          <w:sz w:val="24"/>
          <w:szCs w:val="24"/>
          <w:highlight w:val="none"/>
          <w:lang w:eastAsia="zh-CN"/>
        </w:rPr>
        <w:t>四、</w:t>
      </w:r>
      <w:r>
        <w:rPr>
          <w:rFonts w:hint="eastAsia" w:ascii="宋体" w:hAnsi="宋体" w:eastAsia="宋体" w:cs="宋体"/>
          <w:sz w:val="24"/>
          <w:szCs w:val="24"/>
          <w:highlight w:val="none"/>
        </w:rPr>
        <w:t>磋商承诺函；</w:t>
      </w:r>
      <w:bookmarkEnd w:id="29"/>
    </w:p>
    <w:p w14:paraId="749BE62C">
      <w:pPr>
        <w:spacing w:line="360" w:lineRule="auto"/>
        <w:ind w:firstLine="480" w:firstLineChars="200"/>
        <w:jc w:val="left"/>
        <w:rPr>
          <w:rFonts w:hint="eastAsia" w:ascii="宋体" w:hAnsi="宋体" w:cs="宋体"/>
          <w:sz w:val="24"/>
          <w:szCs w:val="24"/>
          <w:highlight w:val="none"/>
        </w:rPr>
      </w:pPr>
      <w:r>
        <w:rPr>
          <w:rFonts w:hint="eastAsia" w:ascii="宋体" w:hAnsi="宋体" w:eastAsia="宋体" w:cs="宋体"/>
          <w:sz w:val="24"/>
          <w:szCs w:val="24"/>
          <w:highlight w:val="none"/>
          <w:lang w:eastAsia="zh-CN"/>
        </w:rPr>
        <w:t>五、</w:t>
      </w:r>
      <w:r>
        <w:rPr>
          <w:rFonts w:hint="eastAsia" w:ascii="宋体" w:hAnsi="宋体" w:eastAsia="宋体" w:cs="宋体"/>
          <w:sz w:val="24"/>
          <w:szCs w:val="24"/>
          <w:highlight w:val="none"/>
        </w:rPr>
        <w:t>项目服务方案</w:t>
      </w:r>
      <w:r>
        <w:rPr>
          <w:rFonts w:hint="eastAsia" w:ascii="宋体" w:hAnsi="宋体" w:cs="宋体"/>
          <w:sz w:val="24"/>
          <w:szCs w:val="24"/>
          <w:highlight w:val="none"/>
        </w:rPr>
        <w:t>；</w:t>
      </w:r>
    </w:p>
    <w:p w14:paraId="1689B939">
      <w:pPr>
        <w:spacing w:line="360" w:lineRule="auto"/>
        <w:ind w:firstLine="480" w:firstLineChars="200"/>
        <w:jc w:val="left"/>
        <w:rPr>
          <w:rFonts w:hint="eastAsia" w:ascii="宋体" w:hAnsi="宋体" w:cs="宋体"/>
          <w:sz w:val="24"/>
          <w:szCs w:val="24"/>
          <w:highlight w:val="none"/>
        </w:rPr>
      </w:pPr>
      <w:r>
        <w:rPr>
          <w:rFonts w:hint="eastAsia" w:ascii="宋体" w:hAnsi="宋体" w:eastAsia="宋体" w:cs="宋体"/>
          <w:sz w:val="24"/>
          <w:szCs w:val="24"/>
          <w:highlight w:val="none"/>
          <w:lang w:eastAsia="zh-CN"/>
        </w:rPr>
        <w:t>六、</w:t>
      </w:r>
      <w:r>
        <w:rPr>
          <w:rFonts w:hint="eastAsia" w:ascii="宋体" w:hAnsi="宋体" w:eastAsia="宋体" w:cs="宋体"/>
          <w:sz w:val="24"/>
          <w:szCs w:val="24"/>
          <w:highlight w:val="none"/>
        </w:rPr>
        <w:t>资格审查资料</w:t>
      </w:r>
      <w:r>
        <w:rPr>
          <w:rFonts w:hint="eastAsia" w:ascii="宋体" w:hAnsi="宋体" w:cs="宋体"/>
          <w:sz w:val="24"/>
          <w:szCs w:val="24"/>
          <w:highlight w:val="none"/>
        </w:rPr>
        <w:t>；</w:t>
      </w:r>
    </w:p>
    <w:p w14:paraId="0C45FFC9">
      <w:pPr>
        <w:spacing w:line="360" w:lineRule="auto"/>
        <w:ind w:firstLine="480" w:firstLineChars="200"/>
        <w:jc w:val="left"/>
        <w:rPr>
          <w:rFonts w:hint="eastAsia" w:ascii="宋体" w:hAnsi="宋体" w:cs="宋体"/>
          <w:sz w:val="24"/>
          <w:szCs w:val="24"/>
          <w:highlight w:val="none"/>
        </w:rPr>
      </w:pPr>
      <w:r>
        <w:rPr>
          <w:rFonts w:hint="eastAsia" w:ascii="宋体" w:hAnsi="宋体" w:eastAsia="宋体" w:cs="宋体"/>
          <w:sz w:val="24"/>
          <w:szCs w:val="24"/>
          <w:highlight w:val="none"/>
          <w:lang w:eastAsia="zh-CN"/>
        </w:rPr>
        <w:t>七、</w:t>
      </w:r>
      <w:r>
        <w:rPr>
          <w:rFonts w:hint="eastAsia" w:ascii="宋体" w:hAnsi="宋体" w:eastAsia="宋体" w:cs="宋体"/>
          <w:sz w:val="24"/>
          <w:szCs w:val="24"/>
          <w:highlight w:val="none"/>
        </w:rPr>
        <w:t>20</w:t>
      </w: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rPr>
        <w:t>年以来同类项目业绩情况表</w:t>
      </w:r>
      <w:r>
        <w:rPr>
          <w:rFonts w:hint="eastAsia" w:ascii="宋体" w:hAnsi="宋体" w:cs="宋体"/>
          <w:sz w:val="24"/>
          <w:szCs w:val="24"/>
          <w:highlight w:val="none"/>
        </w:rPr>
        <w:t>；</w:t>
      </w:r>
    </w:p>
    <w:p w14:paraId="51B00B26">
      <w:pPr>
        <w:spacing w:line="360" w:lineRule="auto"/>
        <w:ind w:firstLine="480" w:firstLineChars="200"/>
        <w:jc w:val="left"/>
        <w:rPr>
          <w:rFonts w:hint="eastAsia" w:ascii="宋体" w:hAnsi="宋体" w:cs="宋体"/>
          <w:sz w:val="24"/>
          <w:szCs w:val="24"/>
          <w:highlight w:val="none"/>
          <w:lang w:eastAsia="zh-CN"/>
        </w:rPr>
      </w:pPr>
      <w:r>
        <w:rPr>
          <w:rFonts w:hint="eastAsia" w:ascii="宋体" w:hAnsi="宋体" w:cs="宋体"/>
          <w:sz w:val="24"/>
          <w:szCs w:val="24"/>
          <w:highlight w:val="none"/>
          <w:lang w:eastAsia="zh-CN"/>
        </w:rPr>
        <w:t>八、售后服务方案；</w:t>
      </w:r>
    </w:p>
    <w:p w14:paraId="687D614B">
      <w:pPr>
        <w:spacing w:line="360" w:lineRule="auto"/>
        <w:ind w:firstLine="480" w:firstLineChars="200"/>
        <w:jc w:val="left"/>
        <w:rPr>
          <w:rFonts w:hint="eastAsia" w:ascii="宋体" w:hAnsi="宋体" w:cs="宋体"/>
          <w:sz w:val="24"/>
          <w:szCs w:val="24"/>
          <w:highlight w:val="none"/>
          <w:lang w:eastAsia="zh-CN"/>
        </w:rPr>
      </w:pPr>
      <w:r>
        <w:rPr>
          <w:rFonts w:hint="eastAsia" w:ascii="宋体" w:hAnsi="宋体" w:cs="宋体"/>
          <w:sz w:val="24"/>
          <w:szCs w:val="24"/>
          <w:highlight w:val="none"/>
          <w:lang w:eastAsia="zh-CN"/>
        </w:rPr>
        <w:t>九、关于所投产品承诺函；</w:t>
      </w:r>
    </w:p>
    <w:p w14:paraId="46664C5C">
      <w:pPr>
        <w:spacing w:line="360" w:lineRule="auto"/>
        <w:ind w:firstLine="480" w:firstLineChars="200"/>
        <w:jc w:val="left"/>
        <w:rPr>
          <w:rFonts w:hint="eastAsia" w:ascii="宋体" w:hAnsi="宋体" w:cs="宋体"/>
          <w:sz w:val="24"/>
          <w:szCs w:val="24"/>
          <w:highlight w:val="none"/>
          <w:lang w:eastAsia="zh-CN"/>
        </w:rPr>
      </w:pPr>
      <w:r>
        <w:rPr>
          <w:rFonts w:hint="eastAsia" w:ascii="宋体" w:hAnsi="宋体" w:cs="宋体"/>
          <w:sz w:val="24"/>
          <w:szCs w:val="24"/>
          <w:highlight w:val="none"/>
          <w:lang w:eastAsia="zh-CN"/>
        </w:rPr>
        <w:t>十、其他材料。</w:t>
      </w:r>
    </w:p>
    <w:p w14:paraId="25363FE5">
      <w:pPr>
        <w:pStyle w:val="21"/>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三标段:</w:t>
      </w:r>
    </w:p>
    <w:p w14:paraId="15CB44DC">
      <w:pPr>
        <w:pageBreakBefore w:val="0"/>
        <w:shd w:val="clear" w:color="auto" w:fill="FFFFFF"/>
        <w:kinsoku/>
        <w:overflowPunct/>
        <w:topLinePunct w:val="0"/>
        <w:autoSpaceDE w:val="0"/>
        <w:autoSpaceDN w:val="0"/>
        <w:bidi w:val="0"/>
        <w:spacing w:line="360" w:lineRule="auto"/>
        <w:ind w:right="600" w:firstLine="468" w:firstLineChars="195"/>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一、磋商函及磋商函附录</w:t>
      </w:r>
    </w:p>
    <w:p w14:paraId="1D097484">
      <w:pPr>
        <w:pageBreakBefore w:val="0"/>
        <w:shd w:val="clear" w:color="auto" w:fill="FFFFFF"/>
        <w:kinsoku/>
        <w:overflowPunct/>
        <w:topLinePunct w:val="0"/>
        <w:autoSpaceDE w:val="0"/>
        <w:autoSpaceDN w:val="0"/>
        <w:bidi w:val="0"/>
        <w:spacing w:line="360" w:lineRule="auto"/>
        <w:ind w:right="600" w:firstLine="468" w:firstLineChars="195"/>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二、法定代表人身份证明及授权委托书</w:t>
      </w:r>
    </w:p>
    <w:p w14:paraId="2BBF1796">
      <w:pPr>
        <w:pageBreakBefore w:val="0"/>
        <w:shd w:val="clear" w:color="auto" w:fill="FFFFFF"/>
        <w:kinsoku/>
        <w:overflowPunct/>
        <w:topLinePunct w:val="0"/>
        <w:autoSpaceDE w:val="0"/>
        <w:autoSpaceDN w:val="0"/>
        <w:bidi w:val="0"/>
        <w:spacing w:line="360" w:lineRule="auto"/>
        <w:ind w:right="600" w:firstLine="468" w:firstLineChars="195"/>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三、</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承诺函</w:t>
      </w:r>
    </w:p>
    <w:p w14:paraId="675EC4E4">
      <w:pPr>
        <w:pageBreakBefore w:val="0"/>
        <w:shd w:val="clear" w:color="auto" w:fill="FFFFFF"/>
        <w:kinsoku/>
        <w:overflowPunct/>
        <w:topLinePunct w:val="0"/>
        <w:autoSpaceDE w:val="0"/>
        <w:autoSpaceDN w:val="0"/>
        <w:bidi w:val="0"/>
        <w:spacing w:line="360" w:lineRule="auto"/>
        <w:ind w:right="600" w:firstLine="468" w:firstLineChars="195"/>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四、已标价工程量清单</w:t>
      </w:r>
    </w:p>
    <w:p w14:paraId="6851FB24">
      <w:pPr>
        <w:pageBreakBefore w:val="0"/>
        <w:shd w:val="clear" w:color="auto" w:fill="FFFFFF"/>
        <w:kinsoku/>
        <w:overflowPunct/>
        <w:topLinePunct w:val="0"/>
        <w:autoSpaceDE w:val="0"/>
        <w:autoSpaceDN w:val="0"/>
        <w:bidi w:val="0"/>
        <w:spacing w:line="360" w:lineRule="auto"/>
        <w:ind w:right="600" w:firstLine="468" w:firstLineChars="195"/>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五、施工组织设计</w:t>
      </w:r>
    </w:p>
    <w:p w14:paraId="4B0C4DF3">
      <w:pPr>
        <w:pageBreakBefore w:val="0"/>
        <w:shd w:val="clear" w:color="auto" w:fill="FFFFFF"/>
        <w:kinsoku/>
        <w:overflowPunct/>
        <w:topLinePunct w:val="0"/>
        <w:autoSpaceDE w:val="0"/>
        <w:autoSpaceDN w:val="0"/>
        <w:bidi w:val="0"/>
        <w:spacing w:line="360" w:lineRule="auto"/>
        <w:ind w:right="600" w:firstLine="468" w:firstLineChars="195"/>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六、项目管理机构</w:t>
      </w:r>
    </w:p>
    <w:p w14:paraId="3ED0E4ED">
      <w:pPr>
        <w:pageBreakBefore w:val="0"/>
        <w:shd w:val="clear" w:color="auto" w:fill="FFFFFF"/>
        <w:kinsoku/>
        <w:overflowPunct/>
        <w:topLinePunct w:val="0"/>
        <w:autoSpaceDE w:val="0"/>
        <w:autoSpaceDN w:val="0"/>
        <w:bidi w:val="0"/>
        <w:spacing w:line="360" w:lineRule="auto"/>
        <w:ind w:right="600" w:firstLine="468" w:firstLineChars="195"/>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七、业绩证明材料</w:t>
      </w:r>
    </w:p>
    <w:p w14:paraId="3C8399D7">
      <w:pPr>
        <w:pageBreakBefore w:val="0"/>
        <w:shd w:val="clear" w:color="auto" w:fill="FFFFFF"/>
        <w:kinsoku/>
        <w:overflowPunct/>
        <w:topLinePunct w:val="0"/>
        <w:autoSpaceDE w:val="0"/>
        <w:autoSpaceDN w:val="0"/>
        <w:bidi w:val="0"/>
        <w:spacing w:line="360" w:lineRule="auto"/>
        <w:ind w:right="600" w:firstLine="468" w:firstLineChars="195"/>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八、</w:t>
      </w:r>
      <w:r>
        <w:rPr>
          <w:rFonts w:hint="eastAsia" w:ascii="宋体" w:hAnsi="宋体" w:eastAsia="宋体" w:cs="宋体"/>
          <w:sz w:val="24"/>
          <w:szCs w:val="24"/>
          <w:highlight w:val="none"/>
          <w:lang w:val="en-US" w:eastAsia="zh-CN"/>
        </w:rPr>
        <w:t>资格审查资料</w:t>
      </w:r>
    </w:p>
    <w:p w14:paraId="59D24A5F">
      <w:pPr>
        <w:pageBreakBefore w:val="0"/>
        <w:shd w:val="clear" w:color="auto" w:fill="FFFFFF"/>
        <w:kinsoku/>
        <w:overflowPunct/>
        <w:topLinePunct w:val="0"/>
        <w:autoSpaceDE w:val="0"/>
        <w:autoSpaceDN w:val="0"/>
        <w:bidi w:val="0"/>
        <w:spacing w:line="360" w:lineRule="auto"/>
        <w:ind w:right="600" w:firstLine="468" w:firstLineChars="195"/>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九</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履职尽责承诺</w:t>
      </w:r>
    </w:p>
    <w:p w14:paraId="06C8F067">
      <w:pPr>
        <w:pageBreakBefore w:val="0"/>
        <w:shd w:val="clear" w:color="auto" w:fill="FFFFFF"/>
        <w:kinsoku/>
        <w:overflowPunct/>
        <w:topLinePunct w:val="0"/>
        <w:autoSpaceDE w:val="0"/>
        <w:autoSpaceDN w:val="0"/>
        <w:bidi w:val="0"/>
        <w:spacing w:line="360" w:lineRule="auto"/>
        <w:ind w:right="600" w:firstLine="468" w:firstLineChars="195"/>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十、优惠承诺</w:t>
      </w:r>
    </w:p>
    <w:p w14:paraId="1C51B874">
      <w:pPr>
        <w:pageBreakBefore w:val="0"/>
        <w:shd w:val="clear" w:color="auto" w:fill="FFFFFF"/>
        <w:kinsoku/>
        <w:overflowPunct/>
        <w:topLinePunct w:val="0"/>
        <w:autoSpaceDE w:val="0"/>
        <w:autoSpaceDN w:val="0"/>
        <w:bidi w:val="0"/>
        <w:spacing w:line="360" w:lineRule="auto"/>
        <w:ind w:right="600" w:firstLine="468" w:firstLineChars="195"/>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十一、其他资料</w:t>
      </w:r>
    </w:p>
    <w:p w14:paraId="5DC7864F">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6、</w:t>
      </w:r>
      <w:r>
        <w:rPr>
          <w:rFonts w:hint="eastAsia" w:ascii="宋体" w:hAnsi="宋体" w:eastAsia="宋体" w:cs="宋体"/>
          <w:color w:val="auto"/>
          <w:sz w:val="24"/>
          <w:szCs w:val="24"/>
          <w:highlight w:val="none"/>
        </w:rPr>
        <w:t>响应性文件的编制</w:t>
      </w:r>
    </w:p>
    <w:p w14:paraId="6C180698">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6.1响应性文件应按“响应性文件格式”进行编写，如有必要，可以增加附页，作为响应性文件的组成部分。其中，报价函附录在满足磋商文件实质性要求的基础上，可以提出比磋商文件要求更有利于</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的承诺。</w:t>
      </w:r>
      <w:r>
        <w:rPr>
          <w:rFonts w:hint="eastAsia" w:ascii="宋体" w:hAnsi="宋体" w:eastAsia="宋体" w:cs="宋体"/>
          <w:color w:val="auto"/>
          <w:sz w:val="24"/>
          <w:szCs w:val="24"/>
          <w:highlight w:val="none"/>
          <w:lang w:val="en-US" w:eastAsia="zh-CN"/>
        </w:rPr>
        <w:t xml:space="preserve"> </w:t>
      </w:r>
    </w:p>
    <w:p w14:paraId="17CB9490">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6.2响应文件应当对磋商文件有关</w:t>
      </w:r>
      <w:r>
        <w:rPr>
          <w:rFonts w:hint="eastAsia" w:ascii="宋体" w:hAnsi="宋体" w:eastAsia="宋体" w:cs="宋体"/>
          <w:color w:val="auto"/>
          <w:sz w:val="24"/>
          <w:szCs w:val="24"/>
          <w:highlight w:val="none"/>
          <w:lang w:val="en-US" w:eastAsia="zh-CN"/>
        </w:rPr>
        <w:t>供货期（工期）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质量要求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投标有效期等实质性内容作出响应。</w:t>
      </w:r>
    </w:p>
    <w:p w14:paraId="1D8FCF56">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在生成电子化响应文件后，应对电子化响应文件进行签章，未进行签章的视为无效响应。</w:t>
      </w:r>
    </w:p>
    <w:p w14:paraId="46D997D5">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6.4磋商文件中要求签章的，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在进行电子化响应文件签章时，以单位和法定代表人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自然人或者经营者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电子签章为准。</w:t>
      </w:r>
    </w:p>
    <w:p w14:paraId="329BCE47">
      <w:pPr>
        <w:pageBreakBefore w:val="0"/>
        <w:kinsoku/>
        <w:overflowPunct/>
        <w:topLinePunct w:val="0"/>
        <w:bidi w:val="0"/>
        <w:spacing w:line="360" w:lineRule="auto"/>
        <w:ind w:firstLine="482" w:firstLineChars="200"/>
        <w:contextualSpacing/>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7、响应性文件的递交</w:t>
      </w:r>
    </w:p>
    <w:p w14:paraId="70D38F09">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电子化响应性文件应在磋商截止时间前成功上传至三门峡市公共资源电子化交易系统。至磋商截止时间止，仍未上传成功的电子化响应性文件将不予接收。</w:t>
      </w:r>
    </w:p>
    <w:p w14:paraId="203C9FF0">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注：如按照电子化投标操作教材制作完成的电子化</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文件无法上传的，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应在磋商截止时间前尽早的联系中心技术人员，以便有充分的时间进行处理。</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应充分考虑到处理技术问题和上传数据等工作所需的时间问题，响应性文件未在磋商截止时间前成功上传的，其响应性文件不予接收。</w:t>
      </w:r>
    </w:p>
    <w:p w14:paraId="190144D8">
      <w:pPr>
        <w:pageBreakBefore w:val="0"/>
        <w:kinsoku/>
        <w:overflowPunct/>
        <w:topLinePunct w:val="0"/>
        <w:bidi w:val="0"/>
        <w:ind w:firstLine="482" w:firstLineChars="200"/>
        <w:outlineLvl w:val="9"/>
        <w:rPr>
          <w:rFonts w:hint="eastAsia" w:ascii="宋体" w:hAnsi="宋体" w:eastAsia="宋体" w:cs="宋体"/>
          <w:b/>
          <w:color w:val="auto"/>
          <w:kern w:val="0"/>
          <w:sz w:val="24"/>
          <w:szCs w:val="24"/>
          <w:highlight w:val="none"/>
        </w:rPr>
      </w:pPr>
      <w:r>
        <w:rPr>
          <w:rFonts w:hint="eastAsia" w:ascii="宋体" w:hAnsi="宋体" w:eastAsia="宋体" w:cs="宋体"/>
          <w:b/>
          <w:bCs/>
          <w:color w:val="auto"/>
          <w:sz w:val="24"/>
          <w:szCs w:val="24"/>
          <w:highlight w:val="none"/>
        </w:rPr>
        <w:t>8、</w:t>
      </w:r>
      <w:bookmarkStart w:id="30" w:name="_Toc530663936"/>
      <w:bookmarkEnd w:id="30"/>
      <w:bookmarkStart w:id="31" w:name="_Toc530665439"/>
      <w:bookmarkEnd w:id="31"/>
      <w:bookmarkStart w:id="32" w:name="_Toc531936128"/>
      <w:bookmarkEnd w:id="32"/>
      <w:bookmarkStart w:id="33" w:name="_Toc511663232"/>
      <w:bookmarkEnd w:id="33"/>
      <w:bookmarkStart w:id="34" w:name="_Toc530664092"/>
      <w:bookmarkEnd w:id="34"/>
      <w:bookmarkStart w:id="35" w:name="_Toc511897549"/>
      <w:r>
        <w:rPr>
          <w:rFonts w:hint="eastAsia" w:ascii="宋体" w:hAnsi="宋体" w:eastAsia="宋体" w:cs="宋体"/>
          <w:b/>
          <w:color w:val="auto"/>
          <w:kern w:val="0"/>
          <w:sz w:val="24"/>
          <w:szCs w:val="24"/>
          <w:highlight w:val="none"/>
        </w:rPr>
        <w:t>电子化项目开标、解密、评标</w:t>
      </w:r>
      <w:bookmarkEnd w:id="35"/>
    </w:p>
    <w:p w14:paraId="6471C1BD">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8.1本项目采用电子化、无纸化进行招标，开标当日，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无需到开标现场参加开标会议，</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应当在投标截止时间前，登陆不见面开标大厅选择登陆三门峡市公共资源电子招投标系统进行登陆,在线准时参加开标活动并进行</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文件解密等。</w:t>
      </w:r>
    </w:p>
    <w:p w14:paraId="535D7DE0">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8.2电子化</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文件采用一次加密方式。开标时，由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使用CA 证书，在规定时间内对其电子化</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文件进行解密。每位投标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的解密时间为开标时间起30 分钟内，如在规定时间内未完成解密的，其磋商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文件不予开标。</w:t>
      </w:r>
    </w:p>
    <w:p w14:paraId="191321C3">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8.3电子化</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文件异常情况的处理</w:t>
      </w:r>
    </w:p>
    <w:p w14:paraId="24862712">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如出现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的电子</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文件无法解密等异常情况，</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应及时致电中介服务机构说明。磋商文件异常，按以下步骤进行处理：</w:t>
      </w:r>
    </w:p>
    <w:p w14:paraId="1ECDF556">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（1）首先由技术人员进行问题排查。</w:t>
      </w:r>
    </w:p>
    <w:p w14:paraId="09E43028">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（2）经技术人员排查后，是</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文件自身问题导致</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文件无法解密的，该</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文件将不予接收、解密。开标会议继续进行。</w:t>
      </w:r>
    </w:p>
    <w:p w14:paraId="73ABFAB7">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（3）经技术人员排查后，如果是电子化交易系统问题造成</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文件无法解密的，将由技术人员对问题进行处理。如短时间内问题无法解决的，将由中介服务机构向监督部门申请，经监督部门同意后，暂停开标会议，待问题解决后继续开标。</w:t>
      </w:r>
    </w:p>
    <w:p w14:paraId="647F6760">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8.4待所有</w:t>
      </w:r>
      <w:r>
        <w:rPr>
          <w:rFonts w:hint="eastAsia" w:ascii="宋体" w:hAnsi="宋体" w:eastAsia="宋体" w:cs="宋体"/>
          <w:color w:val="auto"/>
          <w:sz w:val="24"/>
          <w:szCs w:val="24"/>
          <w:highlight w:val="none"/>
          <w:lang w:eastAsia="zh-CN"/>
        </w:rPr>
        <w:t>供应商响应</w:t>
      </w:r>
      <w:r>
        <w:rPr>
          <w:rFonts w:hint="eastAsia" w:ascii="宋体" w:hAnsi="宋体" w:eastAsia="宋体" w:cs="宋体"/>
          <w:color w:val="auto"/>
          <w:sz w:val="24"/>
          <w:szCs w:val="24"/>
          <w:highlight w:val="none"/>
        </w:rPr>
        <w:t>文件解密完成后，由中介服务机构操作，</w:t>
      </w:r>
      <w:r>
        <w:rPr>
          <w:rFonts w:hint="eastAsia" w:ascii="宋体" w:hAnsi="宋体" w:cs="宋体"/>
          <w:color w:val="auto"/>
          <w:sz w:val="24"/>
          <w:highlight w:val="none"/>
        </w:rPr>
        <w:t>对所有已解密磋商响应文件</w:t>
      </w:r>
      <w:r>
        <w:rPr>
          <w:rFonts w:hint="eastAsia" w:ascii="宋体" w:hAnsi="宋体" w:cs="宋体"/>
          <w:color w:val="auto"/>
          <w:sz w:val="24"/>
          <w:highlight w:val="none"/>
          <w:lang w:eastAsia="zh-CN"/>
        </w:rPr>
        <w:t>继续</w:t>
      </w:r>
      <w:r>
        <w:rPr>
          <w:rFonts w:hint="eastAsia" w:ascii="宋体" w:hAnsi="宋体" w:cs="宋体"/>
          <w:color w:val="auto"/>
          <w:sz w:val="24"/>
          <w:highlight w:val="none"/>
        </w:rPr>
        <w:t>进行</w:t>
      </w:r>
      <w:r>
        <w:rPr>
          <w:rFonts w:hint="eastAsia" w:ascii="宋体" w:hAnsi="宋体" w:cs="宋体"/>
          <w:color w:val="auto"/>
          <w:sz w:val="24"/>
          <w:highlight w:val="none"/>
          <w:lang w:eastAsia="zh-CN"/>
        </w:rPr>
        <w:t>开标，直至开标会议结束</w:t>
      </w:r>
      <w:r>
        <w:rPr>
          <w:rFonts w:hint="eastAsia" w:ascii="宋体" w:hAnsi="宋体" w:cs="宋体"/>
          <w:color w:val="auto"/>
          <w:sz w:val="24"/>
          <w:szCs w:val="24"/>
          <w:highlight w:val="none"/>
        </w:rPr>
        <w:t>。</w:t>
      </w:r>
    </w:p>
    <w:p w14:paraId="3CE6DB3F">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应保证在开标期间电话、电脑、网络能够正常工作，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因停电、电脑病毒、网络堵塞等原因，未在规定的解密时间内对</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文件进行解密的，其</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文件不予接收。</w:t>
      </w:r>
    </w:p>
    <w:p w14:paraId="60E0E5AC">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评标时，</w:t>
      </w:r>
      <w:r>
        <w:rPr>
          <w:rFonts w:hint="eastAsia" w:ascii="宋体" w:hAnsi="宋体" w:eastAsia="宋体" w:cs="宋体"/>
          <w:color w:val="auto"/>
          <w:spacing w:val="6"/>
          <w:sz w:val="24"/>
          <w:szCs w:val="24"/>
          <w:highlight w:val="none"/>
          <w:lang w:eastAsia="zh-CN"/>
        </w:rPr>
        <w:t>磋商小组</w:t>
      </w:r>
      <w:r>
        <w:rPr>
          <w:rFonts w:hint="eastAsia" w:ascii="宋体" w:hAnsi="宋体" w:eastAsia="宋体" w:cs="宋体"/>
          <w:color w:val="auto"/>
          <w:sz w:val="24"/>
          <w:szCs w:val="24"/>
          <w:highlight w:val="none"/>
        </w:rPr>
        <w:t>对电子化</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文件有质疑的，将通过电子化交易系统对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发起质疑。质疑回复内容确认后，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的回复文件必须以经过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和其法定代表</w:t>
      </w:r>
      <w:r>
        <w:rPr>
          <w:rFonts w:hint="eastAsia" w:ascii="宋体" w:hAnsi="宋体" w:eastAsia="宋体" w:cs="宋体"/>
          <w:color w:val="auto"/>
          <w:sz w:val="24"/>
          <w:szCs w:val="24"/>
          <w:highlight w:val="none"/>
          <w:lang w:val="en-US" w:eastAsia="zh-CN"/>
        </w:rPr>
        <w:t>人（自然人或者经营者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签章的PDF格式文件为准，并通过电子化交易系统提交至</w:t>
      </w:r>
      <w:r>
        <w:rPr>
          <w:rFonts w:hint="eastAsia" w:ascii="宋体" w:hAnsi="宋体" w:eastAsia="宋体" w:cs="宋体"/>
          <w:color w:val="auto"/>
          <w:spacing w:val="6"/>
          <w:sz w:val="24"/>
          <w:szCs w:val="24"/>
          <w:highlight w:val="none"/>
          <w:lang w:eastAsia="zh-CN"/>
        </w:rPr>
        <w:t>磋商小组</w:t>
      </w:r>
      <w:r>
        <w:rPr>
          <w:rFonts w:hint="eastAsia" w:ascii="宋体" w:hAnsi="宋体" w:eastAsia="宋体" w:cs="宋体"/>
          <w:color w:val="auto"/>
          <w:sz w:val="24"/>
          <w:szCs w:val="24"/>
          <w:highlight w:val="none"/>
        </w:rPr>
        <w:t>。</w:t>
      </w:r>
    </w:p>
    <w:p w14:paraId="784368BB">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如</w:t>
      </w:r>
      <w:r>
        <w:rPr>
          <w:rFonts w:hint="eastAsia" w:ascii="宋体" w:hAnsi="宋体" w:eastAsia="宋体" w:cs="宋体"/>
          <w:color w:val="auto"/>
          <w:spacing w:val="6"/>
          <w:sz w:val="24"/>
          <w:szCs w:val="24"/>
          <w:highlight w:val="none"/>
          <w:lang w:eastAsia="zh-CN"/>
        </w:rPr>
        <w:t>磋商小组</w:t>
      </w:r>
      <w:r>
        <w:rPr>
          <w:rFonts w:hint="eastAsia" w:ascii="宋体" w:hAnsi="宋体" w:eastAsia="宋体" w:cs="宋体"/>
          <w:color w:val="auto"/>
          <w:sz w:val="24"/>
          <w:szCs w:val="24"/>
          <w:highlight w:val="none"/>
        </w:rPr>
        <w:t>对需要</w:t>
      </w:r>
      <w:r>
        <w:rPr>
          <w:rFonts w:hint="eastAsia" w:ascii="宋体" w:hAnsi="宋体" w:eastAsia="宋体" w:cs="宋体"/>
          <w:color w:val="auto"/>
          <w:sz w:val="24"/>
          <w:szCs w:val="24"/>
          <w:highlight w:val="none"/>
          <w:lang w:eastAsia="zh-CN"/>
        </w:rPr>
        <w:t>答</w:t>
      </w:r>
      <w:r>
        <w:rPr>
          <w:rFonts w:hint="eastAsia" w:ascii="宋体" w:hAnsi="宋体" w:eastAsia="宋体" w:cs="宋体"/>
          <w:color w:val="auto"/>
          <w:sz w:val="24"/>
          <w:szCs w:val="24"/>
          <w:highlight w:val="none"/>
        </w:rPr>
        <w:t>复的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连续三次</w:t>
      </w:r>
      <w:r>
        <w:rPr>
          <w:rFonts w:hint="eastAsia" w:ascii="宋体" w:hAnsi="宋体" w:eastAsia="宋体" w:cs="宋体"/>
          <w:color w:val="auto"/>
          <w:sz w:val="24"/>
          <w:szCs w:val="24"/>
          <w:highlight w:val="none"/>
          <w:lang w:eastAsia="zh-CN"/>
        </w:rPr>
        <w:t>提出质疑</w:t>
      </w:r>
      <w:r>
        <w:rPr>
          <w:rFonts w:hint="eastAsia" w:ascii="宋体" w:hAnsi="宋体" w:eastAsia="宋体" w:cs="宋体"/>
          <w:color w:val="auto"/>
          <w:sz w:val="24"/>
          <w:szCs w:val="24"/>
          <w:highlight w:val="none"/>
        </w:rPr>
        <w:t>未</w:t>
      </w:r>
      <w:r>
        <w:rPr>
          <w:rFonts w:hint="eastAsia" w:ascii="宋体" w:hAnsi="宋体" w:eastAsia="宋体" w:cs="宋体"/>
          <w:color w:val="auto"/>
          <w:sz w:val="24"/>
          <w:szCs w:val="24"/>
          <w:highlight w:val="none"/>
          <w:lang w:eastAsia="zh-CN"/>
        </w:rPr>
        <w:t>答复</w:t>
      </w:r>
      <w:r>
        <w:rPr>
          <w:rFonts w:hint="eastAsia" w:ascii="宋体" w:hAnsi="宋体" w:eastAsia="宋体" w:cs="宋体"/>
          <w:color w:val="auto"/>
          <w:sz w:val="24"/>
          <w:szCs w:val="24"/>
          <w:highlight w:val="none"/>
        </w:rPr>
        <w:t>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放弃</w:t>
      </w:r>
      <w:r>
        <w:rPr>
          <w:rFonts w:hint="eastAsia" w:ascii="宋体" w:hAnsi="宋体" w:eastAsia="宋体" w:cs="宋体"/>
          <w:color w:val="auto"/>
          <w:sz w:val="24"/>
          <w:szCs w:val="24"/>
          <w:highlight w:val="none"/>
          <w:lang w:eastAsia="zh-CN"/>
        </w:rPr>
        <w:t>答</w:t>
      </w:r>
      <w:r>
        <w:rPr>
          <w:rFonts w:hint="eastAsia" w:ascii="宋体" w:hAnsi="宋体" w:eastAsia="宋体" w:cs="宋体"/>
          <w:strike w:val="0"/>
          <w:dstrike w:val="0"/>
          <w:color w:val="auto"/>
          <w:sz w:val="24"/>
          <w:szCs w:val="24"/>
          <w:highlight w:val="none"/>
        </w:rPr>
        <w:t>复，评标委员会将自行对需要回复的内容进行认定</w:t>
      </w:r>
      <w:r>
        <w:rPr>
          <w:rFonts w:hint="eastAsia" w:ascii="宋体" w:hAnsi="宋体" w:eastAsia="宋体" w:cs="宋体"/>
          <w:color w:val="auto"/>
          <w:sz w:val="24"/>
          <w:szCs w:val="24"/>
          <w:highlight w:val="none"/>
        </w:rPr>
        <w:t>。</w:t>
      </w:r>
    </w:p>
    <w:p w14:paraId="1A53697B">
      <w:pPr>
        <w:pageBreakBefore w:val="0"/>
        <w:kinsoku/>
        <w:overflowPunct/>
        <w:topLinePunct w:val="0"/>
        <w:bidi w:val="0"/>
        <w:outlineLvl w:val="9"/>
        <w:rPr>
          <w:rFonts w:hint="eastAsia" w:ascii="宋体" w:hAnsi="宋体" w:eastAsia="宋体" w:cs="宋体"/>
          <w:b/>
          <w:color w:val="auto"/>
          <w:kern w:val="0"/>
          <w:sz w:val="24"/>
          <w:szCs w:val="24"/>
          <w:highlight w:val="none"/>
        </w:rPr>
      </w:pPr>
      <w:r>
        <w:rPr>
          <w:rFonts w:hint="eastAsia" w:ascii="宋体" w:hAnsi="宋体" w:eastAsia="宋体" w:cs="宋体"/>
          <w:b/>
          <w:bCs/>
          <w:color w:val="auto"/>
          <w:sz w:val="24"/>
          <w:szCs w:val="24"/>
          <w:highlight w:val="none"/>
        </w:rPr>
        <w:t>9、</w:t>
      </w:r>
      <w:r>
        <w:rPr>
          <w:rFonts w:hint="eastAsia" w:ascii="宋体" w:hAnsi="宋体" w:eastAsia="宋体" w:cs="宋体"/>
          <w:b/>
          <w:color w:val="auto"/>
          <w:kern w:val="0"/>
          <w:sz w:val="24"/>
          <w:szCs w:val="24"/>
          <w:highlight w:val="none"/>
        </w:rPr>
        <w:t>竞争性磋商</w:t>
      </w:r>
    </w:p>
    <w:p w14:paraId="77285372">
      <w:pPr>
        <w:pageBreakBefore w:val="0"/>
        <w:kinsoku/>
        <w:overflowPunct/>
        <w:topLinePunct w:val="0"/>
        <w:autoSpaceDE w:val="0"/>
        <w:autoSpaceDN w:val="0"/>
        <w:bidi w:val="0"/>
        <w:adjustRightInd w:val="0"/>
        <w:spacing w:line="36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9.1磋商小组由评审专家共3人以上单数组成，其中</w:t>
      </w:r>
      <w:r>
        <w:rPr>
          <w:rFonts w:hint="eastAsia" w:ascii="宋体" w:hAnsi="宋体" w:eastAsia="宋体" w:cs="宋体"/>
          <w:color w:val="auto"/>
          <w:kern w:val="0"/>
          <w:sz w:val="24"/>
          <w:szCs w:val="24"/>
          <w:highlight w:val="none"/>
          <w:lang w:val="en-US" w:eastAsia="zh-CN"/>
        </w:rPr>
        <w:t>经济、技术</w:t>
      </w:r>
      <w:r>
        <w:rPr>
          <w:rFonts w:hint="eastAsia" w:ascii="宋体" w:hAnsi="宋体" w:eastAsia="宋体" w:cs="宋体"/>
          <w:color w:val="auto"/>
          <w:kern w:val="0"/>
          <w:sz w:val="24"/>
          <w:szCs w:val="24"/>
          <w:highlight w:val="none"/>
        </w:rPr>
        <w:t>评审专家人数不得少于磋商小组成员总数的2/3。磋商小组对供应商的响应文件进行审查、质疑、评审、比较，集中与单一供应商分别进行磋商。</w:t>
      </w:r>
    </w:p>
    <w:p w14:paraId="5E2AD7ED">
      <w:pPr>
        <w:pageBreakBefore w:val="0"/>
        <w:kinsoku/>
        <w:overflowPunct/>
        <w:topLinePunct w:val="0"/>
        <w:autoSpaceDE w:val="0"/>
        <w:autoSpaceDN w:val="0"/>
        <w:bidi w:val="0"/>
        <w:adjustRightInd w:val="0"/>
        <w:spacing w:line="36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9.2磋商小组制定磋商文件或确认磋商文件符合</w:t>
      </w:r>
      <w:r>
        <w:rPr>
          <w:rFonts w:hint="eastAsia" w:ascii="宋体" w:hAnsi="宋体" w:eastAsia="宋体" w:cs="宋体"/>
          <w:color w:val="auto"/>
          <w:kern w:val="0"/>
          <w:sz w:val="24"/>
          <w:szCs w:val="24"/>
          <w:highlight w:val="none"/>
          <w:lang w:eastAsia="zh-CN"/>
        </w:rPr>
        <w:t>相关</w:t>
      </w:r>
      <w:r>
        <w:rPr>
          <w:rFonts w:hint="eastAsia" w:ascii="宋体" w:hAnsi="宋体" w:eastAsia="宋体" w:cs="宋体"/>
          <w:color w:val="auto"/>
          <w:kern w:val="0"/>
          <w:sz w:val="24"/>
          <w:szCs w:val="24"/>
          <w:highlight w:val="none"/>
        </w:rPr>
        <w:t>政策规定，整个磋商过程将严格按照 “公开、公平、公正”的原则进行。</w:t>
      </w:r>
    </w:p>
    <w:p w14:paraId="008975CA">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9.</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sz w:val="24"/>
          <w:szCs w:val="24"/>
          <w:highlight w:val="none"/>
        </w:rPr>
        <w:t>磋商小组首先要对各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递交响应文件的</w:t>
      </w:r>
      <w:r>
        <w:rPr>
          <w:rFonts w:hint="eastAsia" w:ascii="宋体" w:hAnsi="宋体" w:eastAsia="宋体" w:cs="宋体"/>
          <w:color w:val="auto"/>
          <w:sz w:val="24"/>
          <w:szCs w:val="24"/>
          <w:highlight w:val="none"/>
          <w:lang w:eastAsia="zh-CN"/>
        </w:rPr>
        <w:t>形式，资格，响应性</w:t>
      </w:r>
      <w:r>
        <w:rPr>
          <w:rFonts w:hint="eastAsia" w:ascii="宋体" w:hAnsi="宋体" w:eastAsia="宋体" w:cs="宋体"/>
          <w:color w:val="auto"/>
          <w:sz w:val="24"/>
          <w:szCs w:val="24"/>
          <w:highlight w:val="none"/>
        </w:rPr>
        <w:t>进行审阅，以判定各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有效性，审阅结束后，要确定进入最终报价磋商阶段的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名单；</w:t>
      </w:r>
    </w:p>
    <w:p w14:paraId="62C2B678">
      <w:pPr>
        <w:pageBreakBefore w:val="0"/>
        <w:kinsoku/>
        <w:overflowPunct/>
        <w:topLinePunct w:val="0"/>
        <w:autoSpaceDE w:val="0"/>
        <w:autoSpaceDN w:val="0"/>
        <w:bidi w:val="0"/>
        <w:adjustRightInd w:val="0"/>
        <w:spacing w:line="36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.1在初审阶段，属于下列情况的响应文件将不得进入磋商阶段：</w:t>
      </w:r>
    </w:p>
    <w:p w14:paraId="133085C7">
      <w:pPr>
        <w:pageBreakBefore w:val="0"/>
        <w:kinsoku/>
        <w:overflowPunct/>
        <w:topLinePunct w:val="0"/>
        <w:autoSpaceDE w:val="0"/>
        <w:autoSpaceDN w:val="0"/>
        <w:bidi w:val="0"/>
        <w:adjustRightInd w:val="0"/>
        <w:spacing w:line="360" w:lineRule="auto"/>
        <w:ind w:firstLine="240" w:firstLineChars="1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在生成电子化响应文件后，应对电子化响应文件进行签章，未进行签章的视为无效投标。</w:t>
      </w:r>
    </w:p>
    <w:p w14:paraId="2BA3135A">
      <w:pPr>
        <w:pageBreakBefore w:val="0"/>
        <w:kinsoku/>
        <w:overflowPunct/>
        <w:topLinePunct w:val="0"/>
        <w:autoSpaceDE w:val="0"/>
        <w:autoSpaceDN w:val="0"/>
        <w:bidi w:val="0"/>
        <w:adjustRightInd w:val="0"/>
        <w:spacing w:line="360" w:lineRule="auto"/>
        <w:ind w:firstLine="240" w:firstLineChars="1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（2）响应文件中有</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不能接受的其它条件；</w:t>
      </w:r>
    </w:p>
    <w:p w14:paraId="3F1F893C">
      <w:pPr>
        <w:pageBreakBefore w:val="0"/>
        <w:kinsoku/>
        <w:overflowPunct/>
        <w:topLinePunct w:val="0"/>
        <w:autoSpaceDE w:val="0"/>
        <w:autoSpaceDN w:val="0"/>
        <w:bidi w:val="0"/>
        <w:adjustRightInd w:val="0"/>
        <w:spacing w:line="360" w:lineRule="auto"/>
        <w:ind w:firstLine="240" w:firstLineChars="1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（3）资格不合格的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4E4F9DBF">
      <w:pPr>
        <w:pageBreakBefore w:val="0"/>
        <w:kinsoku/>
        <w:overflowPunct/>
        <w:topLinePunct w:val="0"/>
        <w:autoSpaceDE w:val="0"/>
        <w:autoSpaceDN w:val="0"/>
        <w:bidi w:val="0"/>
        <w:adjustRightInd w:val="0"/>
        <w:spacing w:line="360" w:lineRule="auto"/>
        <w:ind w:firstLine="480" w:firstLineChars="200"/>
        <w:outlineLvl w:val="9"/>
        <w:rPr>
          <w:rFonts w:hint="eastAsia" w:ascii="宋体" w:hAnsi="宋体" w:eastAsia="宋体" w:cs="宋体"/>
          <w:color w:val="auto"/>
          <w:kern w:val="0"/>
          <w:sz w:val="24"/>
          <w:szCs w:val="24"/>
          <w:highlight w:val="none"/>
        </w:rPr>
      </w:pPr>
      <w:bookmarkStart w:id="36" w:name="_Toc109537522"/>
      <w:bookmarkEnd w:id="36"/>
      <w:bookmarkStart w:id="37" w:name="_Toc109550798"/>
      <w:bookmarkEnd w:id="37"/>
      <w:bookmarkStart w:id="38" w:name="_Toc90712538"/>
      <w:bookmarkEnd w:id="38"/>
      <w:bookmarkStart w:id="39" w:name="_Toc90713357"/>
      <w:r>
        <w:rPr>
          <w:rFonts w:hint="eastAsia" w:ascii="宋体" w:hAnsi="宋体" w:eastAsia="宋体" w:cs="宋体"/>
          <w:color w:val="auto"/>
          <w:kern w:val="0"/>
          <w:sz w:val="24"/>
          <w:szCs w:val="24"/>
          <w:highlight w:val="none"/>
        </w:rPr>
        <w:t>9.4.2在初审阶段,响应文件出现以下情况之一者，属于重大偏差，为未能对磋商文件作出实质性响应，作废标处理：</w:t>
      </w:r>
      <w:bookmarkEnd w:id="39"/>
    </w:p>
    <w:p w14:paraId="3F201D73">
      <w:pPr>
        <w:pageBreakBefore w:val="0"/>
        <w:kinsoku/>
        <w:overflowPunct/>
        <w:topLinePunct w:val="0"/>
        <w:bidi w:val="0"/>
        <w:spacing w:line="360" w:lineRule="auto"/>
        <w:ind w:firstLine="420" w:firstLineChars="175"/>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（1）响应文件未按规定的格式填写、内容不全的；</w:t>
      </w:r>
    </w:p>
    <w:p w14:paraId="2336F923">
      <w:pPr>
        <w:pageBreakBefore w:val="0"/>
        <w:kinsoku/>
        <w:overflowPunct/>
        <w:topLinePunct w:val="0"/>
        <w:bidi w:val="0"/>
        <w:spacing w:line="360" w:lineRule="auto"/>
        <w:ind w:firstLine="420" w:firstLineChars="175"/>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（2）响应文件中无报价、无</w:t>
      </w:r>
      <w:r>
        <w:rPr>
          <w:rFonts w:hint="eastAsia" w:ascii="宋体" w:hAnsi="宋体" w:eastAsia="宋体" w:cs="宋体"/>
          <w:b w:val="0"/>
          <w:bCs/>
          <w:color w:val="auto"/>
          <w:sz w:val="24"/>
          <w:szCs w:val="24"/>
          <w:highlight w:val="none"/>
          <w:lang w:val="en-US" w:eastAsia="zh-CN"/>
        </w:rPr>
        <w:t>供货期限</w:t>
      </w:r>
      <w:r>
        <w:rPr>
          <w:rFonts w:hint="eastAsia" w:ascii="宋体" w:hAnsi="宋体" w:eastAsia="宋体" w:cs="宋体"/>
          <w:b w:val="0"/>
          <w:bCs/>
          <w:color w:val="auto"/>
          <w:sz w:val="24"/>
          <w:szCs w:val="24"/>
          <w:highlight w:val="none"/>
        </w:rPr>
        <w:t>、无</w:t>
      </w:r>
      <w:r>
        <w:rPr>
          <w:rFonts w:hint="eastAsia" w:ascii="宋体" w:hAnsi="宋体" w:eastAsia="宋体" w:cs="宋体"/>
          <w:b w:val="0"/>
          <w:bCs/>
          <w:color w:val="auto"/>
          <w:sz w:val="24"/>
          <w:szCs w:val="24"/>
          <w:highlight w:val="none"/>
          <w:lang w:val="en-US" w:eastAsia="zh-CN"/>
        </w:rPr>
        <w:t>质量要求</w:t>
      </w:r>
      <w:r>
        <w:rPr>
          <w:rFonts w:hint="eastAsia" w:ascii="宋体" w:hAnsi="宋体" w:eastAsia="宋体" w:cs="宋体"/>
          <w:b w:val="0"/>
          <w:bCs/>
          <w:color w:val="auto"/>
          <w:sz w:val="24"/>
          <w:szCs w:val="24"/>
          <w:highlight w:val="none"/>
        </w:rPr>
        <w:t>的</w:t>
      </w:r>
      <w:r>
        <w:rPr>
          <w:rFonts w:hint="eastAsia" w:ascii="宋体" w:hAnsi="宋体" w:eastAsia="宋体" w:cs="宋体"/>
          <w:b w:val="0"/>
          <w:bCs/>
          <w:color w:val="auto"/>
          <w:sz w:val="24"/>
          <w:szCs w:val="24"/>
          <w:highlight w:val="none"/>
          <w:lang w:eastAsia="zh-CN"/>
        </w:rPr>
        <w:t>。</w:t>
      </w:r>
    </w:p>
    <w:p w14:paraId="16A10CDB">
      <w:pPr>
        <w:pageBreakBefore w:val="0"/>
        <w:kinsoku/>
        <w:overflowPunct/>
        <w:topLinePunct w:val="0"/>
        <w:autoSpaceDE w:val="0"/>
        <w:autoSpaceDN w:val="0"/>
        <w:bidi w:val="0"/>
        <w:adjustRightInd w:val="0"/>
        <w:spacing w:line="360" w:lineRule="auto"/>
        <w:ind w:firstLine="480" w:firstLineChars="200"/>
        <w:outlineLvl w:val="9"/>
        <w:rPr>
          <w:rFonts w:hint="default"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lang w:val="en-US" w:eastAsia="zh-CN"/>
        </w:rPr>
        <w:t>3</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lang w:val="en-US" w:eastAsia="zh-CN"/>
        </w:rPr>
        <w:t>报价超过采购控制价的。</w:t>
      </w:r>
    </w:p>
    <w:p w14:paraId="28468EF5">
      <w:pPr>
        <w:pageBreakBefore w:val="0"/>
        <w:kinsoku/>
        <w:overflowPunct/>
        <w:topLinePunct w:val="0"/>
        <w:autoSpaceDE w:val="0"/>
        <w:autoSpaceDN w:val="0"/>
        <w:bidi w:val="0"/>
        <w:adjustRightInd w:val="0"/>
        <w:spacing w:line="36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9.4.3详细磋商</w:t>
      </w:r>
    </w:p>
    <w:p w14:paraId="7E4B64DB">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）磋商小组集中与单一</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分别进行磋商。在磋商中，磋商双方可以就磋商项目所涉及的价格、技术、服务等进行实质性磋商，但磋商的任何一方不得透露与磋商有关的其他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的商业秘密、技术资料、价格和其他信息，不得变动磋商文件中的其他内容。</w:t>
      </w:r>
    </w:p>
    <w:p w14:paraId="67B99276">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）磋商小组可以要求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对响应文件中含义不明确、同类问题表述不一致或者有明显文字和计算错误的内容等作出必要的澄清、说明或者更正。</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的澄清、说明或者更正不得超出响应文件的范围或者改变响应文件的实质性内容。</w:t>
      </w:r>
    </w:p>
    <w:p w14:paraId="4BB0EA25">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）磋商小组要求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澄清、说明或者更正响应文件应当在系统内作出。</w:t>
      </w:r>
    </w:p>
    <w:p w14:paraId="6DE44E23">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）在磋商过程中，磋商小组可以根据磋商文件要求</w:t>
      </w:r>
      <w:r>
        <w:rPr>
          <w:rFonts w:hint="eastAsia" w:ascii="宋体" w:hAnsi="宋体" w:eastAsia="宋体" w:cs="宋体"/>
          <w:color w:val="auto"/>
          <w:sz w:val="24"/>
          <w:szCs w:val="24"/>
          <w:highlight w:val="none"/>
          <w:lang w:val="en-US" w:eastAsia="zh-CN"/>
        </w:rPr>
        <w:t>评标</w:t>
      </w:r>
      <w:r>
        <w:rPr>
          <w:rFonts w:hint="eastAsia" w:ascii="宋体" w:hAnsi="宋体" w:eastAsia="宋体" w:cs="宋体"/>
          <w:color w:val="auto"/>
          <w:sz w:val="24"/>
          <w:szCs w:val="24"/>
          <w:highlight w:val="none"/>
        </w:rPr>
        <w:t>，但不得变动磋商文件中的其他内容。实质性变动的内容，须经</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代表确认。对磋商文件作出的实质性变动是磋商文件的有效组成部分，磋商小组应当在系统内通知所有参加磋商的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14:paraId="41409884">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）磋商结束后，磋商小组应当要求所有继续参加磋商的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在规定时间时间内提交最后报价。</w:t>
      </w:r>
    </w:p>
    <w:p w14:paraId="1A2144ED">
      <w:pPr>
        <w:pageBreakBefore w:val="0"/>
        <w:kinsoku/>
        <w:overflowPunct/>
        <w:topLinePunct w:val="0"/>
        <w:bidi w:val="0"/>
        <w:spacing w:line="520" w:lineRule="exact"/>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）供应商提交的最后报价不得高于其前一次报价。</w:t>
      </w:r>
    </w:p>
    <w:p w14:paraId="7A3F4C15">
      <w:pPr>
        <w:pageBreakBefore w:val="0"/>
        <w:kinsoku/>
        <w:overflowPunct/>
        <w:topLinePunct w:val="0"/>
        <w:bidi w:val="0"/>
        <w:spacing w:line="520" w:lineRule="exact"/>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）原则上进行二轮报价，如遇特殊情况，根据磋商现场情况经磋商小组讨论研究，可进行多轮报价。</w:t>
      </w:r>
    </w:p>
    <w:p w14:paraId="6F24120B">
      <w:pPr>
        <w:pageBreakBefore w:val="0"/>
        <w:kinsoku/>
        <w:overflowPunct/>
        <w:topLinePunct w:val="0"/>
        <w:autoSpaceDE w:val="0"/>
        <w:autoSpaceDN w:val="0"/>
        <w:bidi w:val="0"/>
        <w:adjustRightInd w:val="0"/>
        <w:spacing w:line="36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w:t>
      </w:r>
      <w:r>
        <w:rPr>
          <w:rFonts w:hint="eastAsia" w:ascii="宋体" w:hAnsi="宋体" w:cs="宋体"/>
          <w:sz w:val="24"/>
          <w:szCs w:val="24"/>
          <w:highlight w:val="none"/>
          <w:lang w:val="zh-CN"/>
        </w:rPr>
        <w:t>由磋商小组</w:t>
      </w:r>
      <w:r>
        <w:rPr>
          <w:rFonts w:hint="eastAsia" w:ascii="宋体" w:hAnsi="宋体" w:cs="宋体"/>
          <w:sz w:val="24"/>
          <w:szCs w:val="24"/>
          <w:highlight w:val="none"/>
        </w:rPr>
        <w:t>按照磋商文件“评审办法（</w:t>
      </w:r>
      <w:r>
        <w:rPr>
          <w:rFonts w:hint="eastAsia" w:ascii="宋体" w:hAnsi="宋体" w:cs="宋体"/>
          <w:sz w:val="24"/>
          <w:szCs w:val="24"/>
          <w:highlight w:val="none"/>
          <w:lang w:val="zh-CN"/>
        </w:rPr>
        <w:t>综合评分法）</w:t>
      </w:r>
      <w:r>
        <w:rPr>
          <w:rFonts w:hint="eastAsia" w:ascii="宋体" w:hAnsi="宋体" w:cs="宋体"/>
          <w:sz w:val="24"/>
          <w:szCs w:val="24"/>
          <w:highlight w:val="none"/>
        </w:rPr>
        <w:t>”</w:t>
      </w:r>
      <w:r>
        <w:rPr>
          <w:rFonts w:hint="eastAsia" w:ascii="宋体" w:hAnsi="宋体" w:cs="宋体"/>
          <w:sz w:val="24"/>
          <w:szCs w:val="24"/>
          <w:highlight w:val="none"/>
          <w:lang w:val="zh-CN"/>
        </w:rPr>
        <w:t>对提交最终报价的供应商的响应文件和最终报价进行综合评分，磋商</w:t>
      </w:r>
      <w:r>
        <w:rPr>
          <w:rFonts w:hint="eastAsia" w:ascii="宋体" w:hAnsi="宋体" w:cs="宋体"/>
          <w:sz w:val="24"/>
          <w:szCs w:val="24"/>
          <w:highlight w:val="none"/>
        </w:rPr>
        <w:t>小组将按得分由高到低的顺序向采购人推荐3名成交候选人。</w:t>
      </w:r>
    </w:p>
    <w:p w14:paraId="6902D70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宋体" w:hAnsi="宋体" w:cs="宋体"/>
          <w:sz w:val="24"/>
          <w:szCs w:val="24"/>
          <w:highlight w:val="none"/>
          <w:lang w:val="zh-CN"/>
        </w:rPr>
      </w:pPr>
      <w:r>
        <w:rPr>
          <w:rFonts w:hint="eastAsia" w:ascii="宋体" w:hAnsi="宋体" w:cs="宋体"/>
          <w:sz w:val="24"/>
          <w:szCs w:val="24"/>
          <w:highlight w:val="none"/>
          <w:lang w:val="zh-CN"/>
        </w:rPr>
        <w:t>9.4.4磋商报价</w:t>
      </w:r>
    </w:p>
    <w:p w14:paraId="7C11A35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宋体" w:hAnsi="宋体" w:cs="宋体"/>
          <w:sz w:val="24"/>
          <w:szCs w:val="24"/>
          <w:highlight w:val="none"/>
          <w:lang w:val="zh-CN"/>
        </w:rPr>
      </w:pPr>
      <w:r>
        <w:rPr>
          <w:rFonts w:hint="eastAsia" w:ascii="宋体" w:hAnsi="宋体" w:cs="宋体"/>
          <w:sz w:val="24"/>
          <w:szCs w:val="24"/>
          <w:highlight w:val="none"/>
          <w:lang w:val="zh-CN"/>
        </w:rPr>
        <w:t>（</w:t>
      </w:r>
      <w:r>
        <w:rPr>
          <w:rFonts w:hint="eastAsia" w:ascii="宋体" w:hAnsi="宋体" w:cs="宋体"/>
          <w:sz w:val="24"/>
          <w:szCs w:val="24"/>
          <w:highlight w:val="none"/>
          <w:lang w:val="en-US" w:eastAsia="zh-CN"/>
        </w:rPr>
        <w:t>1）</w:t>
      </w:r>
      <w:r>
        <w:rPr>
          <w:rFonts w:hint="eastAsia" w:ascii="宋体" w:hAnsi="宋体" w:cs="宋体"/>
          <w:sz w:val="24"/>
          <w:szCs w:val="24"/>
          <w:highlight w:val="none"/>
          <w:lang w:val="zh-CN"/>
        </w:rPr>
        <w:t>本次竞争性磋商分为两轮报价，不得高于项目</w:t>
      </w:r>
      <w:r>
        <w:rPr>
          <w:rFonts w:hint="eastAsia" w:ascii="宋体" w:hAnsi="宋体" w:cs="宋体"/>
          <w:sz w:val="24"/>
          <w:szCs w:val="24"/>
          <w:highlight w:val="none"/>
          <w:lang w:val="en-US" w:eastAsia="zh-CN"/>
        </w:rPr>
        <w:t>每</w:t>
      </w:r>
      <w:r>
        <w:rPr>
          <w:rFonts w:hint="eastAsia" w:ascii="宋体" w:hAnsi="宋体" w:cs="宋体"/>
          <w:sz w:val="24"/>
          <w:szCs w:val="24"/>
          <w:highlight w:val="none"/>
          <w:lang w:val="zh-CN" w:eastAsia="zh-CN"/>
        </w:rPr>
        <w:t>标</w:t>
      </w:r>
      <w:r>
        <w:rPr>
          <w:rFonts w:hint="eastAsia" w:ascii="宋体" w:hAnsi="宋体" w:cs="宋体"/>
          <w:sz w:val="24"/>
          <w:szCs w:val="24"/>
          <w:highlight w:val="none"/>
          <w:lang w:val="en-US" w:eastAsia="zh-CN"/>
        </w:rPr>
        <w:t>段公布的</w:t>
      </w:r>
      <w:r>
        <w:rPr>
          <w:rFonts w:hint="eastAsia" w:ascii="宋体" w:hAnsi="宋体" w:cs="宋体"/>
          <w:sz w:val="24"/>
          <w:szCs w:val="24"/>
          <w:highlight w:val="none"/>
          <w:lang w:val="zh-CN"/>
        </w:rPr>
        <w:t>招标控制价。</w:t>
      </w:r>
      <w:r>
        <w:rPr>
          <w:rFonts w:hint="eastAsia" w:ascii="宋体" w:hAnsi="宋体" w:cs="宋体"/>
          <w:sz w:val="24"/>
          <w:szCs w:val="24"/>
          <w:highlight w:val="none"/>
          <w:lang w:val="zh-CN" w:eastAsia="zh-CN"/>
        </w:rPr>
        <w:t>（</w:t>
      </w:r>
      <w:r>
        <w:rPr>
          <w:rFonts w:hint="eastAsia" w:ascii="宋体" w:hAnsi="宋体" w:cs="宋体"/>
          <w:sz w:val="24"/>
          <w:szCs w:val="24"/>
          <w:highlight w:val="none"/>
          <w:lang w:val="zh-CN"/>
        </w:rPr>
        <w:t>本次磋商为二轮报价，磋商响应文件中为一次报价，二次报价由</w:t>
      </w:r>
      <w:r>
        <w:rPr>
          <w:rFonts w:hint="eastAsia" w:ascii="宋体" w:hAnsi="宋体" w:cs="宋体"/>
          <w:sz w:val="24"/>
          <w:szCs w:val="24"/>
          <w:highlight w:val="none"/>
          <w:lang w:val="zh-CN" w:eastAsia="zh-CN"/>
        </w:rPr>
        <w:t>磋商小组</w:t>
      </w:r>
      <w:r>
        <w:rPr>
          <w:rFonts w:hint="eastAsia" w:ascii="宋体" w:hAnsi="宋体" w:cs="宋体"/>
          <w:sz w:val="24"/>
          <w:szCs w:val="24"/>
          <w:highlight w:val="none"/>
          <w:lang w:val="zh-CN"/>
        </w:rPr>
        <w:t>发起进行报价，二次报价即为最终报价，最终报价为响应文件的一部分。</w:t>
      </w:r>
      <w:r>
        <w:rPr>
          <w:rFonts w:hint="eastAsia" w:ascii="宋体" w:hAnsi="宋体" w:cs="宋体"/>
          <w:sz w:val="24"/>
          <w:szCs w:val="24"/>
          <w:highlight w:val="none"/>
          <w:lang w:val="zh-CN" w:eastAsia="zh-CN"/>
        </w:rPr>
        <w:t>）</w:t>
      </w:r>
    </w:p>
    <w:p w14:paraId="5B3D11D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cs="宋体"/>
          <w:sz w:val="24"/>
          <w:szCs w:val="24"/>
          <w:highlight w:val="none"/>
          <w:lang w:val="zh-CN"/>
        </w:rPr>
        <w:t>（</w:t>
      </w:r>
      <w:r>
        <w:rPr>
          <w:rFonts w:hint="eastAsia" w:ascii="宋体" w:hAnsi="宋体" w:cs="宋体"/>
          <w:sz w:val="24"/>
          <w:szCs w:val="24"/>
          <w:highlight w:val="none"/>
          <w:lang w:val="en-US" w:eastAsia="zh-CN"/>
        </w:rPr>
        <w:t>2</w:t>
      </w:r>
      <w:r>
        <w:rPr>
          <w:rFonts w:hint="eastAsia" w:ascii="宋体" w:hAnsi="宋体" w:cs="宋体"/>
          <w:sz w:val="24"/>
          <w:szCs w:val="24"/>
          <w:highlight w:val="none"/>
          <w:lang w:val="zh-CN"/>
        </w:rPr>
        <w:t>）磋商报价计量采用中华人民共和国法定的基本计量单位。</w:t>
      </w:r>
      <w:r>
        <w:rPr>
          <w:rFonts w:hint="eastAsia" w:ascii="宋体" w:hAnsi="宋体" w:cs="宋体"/>
          <w:sz w:val="24"/>
          <w:szCs w:val="24"/>
          <w:highlight w:val="none"/>
          <w:lang w:val="zh-CN" w:eastAsia="zh-CN"/>
        </w:rPr>
        <w:t>供应商</w:t>
      </w:r>
      <w:r>
        <w:rPr>
          <w:rFonts w:hint="eastAsia" w:ascii="宋体" w:hAnsi="宋体" w:cs="宋体"/>
          <w:sz w:val="24"/>
          <w:szCs w:val="24"/>
          <w:highlight w:val="none"/>
          <w:lang w:val="zh-CN"/>
        </w:rPr>
        <w:t>根据</w:t>
      </w:r>
      <w:r>
        <w:rPr>
          <w:rFonts w:hint="eastAsia" w:ascii="宋体" w:hAnsi="宋体" w:cs="宋体"/>
          <w:sz w:val="24"/>
          <w:szCs w:val="24"/>
          <w:highlight w:val="none"/>
          <w:lang w:val="zh-CN" w:eastAsia="zh-CN"/>
        </w:rPr>
        <w:t>采购人</w:t>
      </w:r>
      <w:r>
        <w:rPr>
          <w:rFonts w:hint="eastAsia" w:ascii="宋体" w:hAnsi="宋体" w:cs="宋体"/>
          <w:sz w:val="24"/>
          <w:szCs w:val="24"/>
          <w:highlight w:val="none"/>
          <w:lang w:val="zh-CN"/>
        </w:rPr>
        <w:t>提供的本项目施工工程量清单、</w:t>
      </w:r>
      <w:r>
        <w:rPr>
          <w:rFonts w:hint="eastAsia" w:ascii="宋体" w:hAnsi="宋体" w:cs="宋体"/>
          <w:sz w:val="24"/>
          <w:szCs w:val="24"/>
          <w:highlight w:val="none"/>
          <w:lang w:val="zh-CN" w:eastAsia="zh-CN"/>
        </w:rPr>
        <w:t>服务内容及要求、</w:t>
      </w:r>
      <w:r>
        <w:rPr>
          <w:rFonts w:hint="eastAsia" w:ascii="宋体" w:hAnsi="宋体" w:cs="宋体"/>
          <w:sz w:val="24"/>
          <w:szCs w:val="24"/>
          <w:highlight w:val="none"/>
          <w:lang w:val="zh-CN"/>
        </w:rPr>
        <w:t>答疑纪要、磋商文件及补充答疑文件</w:t>
      </w:r>
      <w:r>
        <w:rPr>
          <w:rFonts w:hint="eastAsia" w:ascii="宋体" w:hAnsi="宋体" w:cs="宋体"/>
          <w:sz w:val="24"/>
          <w:szCs w:val="24"/>
          <w:highlight w:val="none"/>
          <w:lang w:val="zh-CN" w:eastAsia="zh-CN"/>
        </w:rPr>
        <w:t>进行报价。</w:t>
      </w:r>
    </w:p>
    <w:p w14:paraId="4A2B76CB">
      <w:pPr>
        <w:pageBreakBefore w:val="0"/>
        <w:kinsoku/>
        <w:overflowPunct/>
        <w:topLinePunct w:val="0"/>
        <w:autoSpaceDE w:val="0"/>
        <w:autoSpaceDN w:val="0"/>
        <w:bidi w:val="0"/>
        <w:adjustRightInd w:val="0"/>
        <w:spacing w:line="36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r>
        <w:rPr>
          <w:rFonts w:hint="eastAsia" w:ascii="宋体" w:hAnsi="宋体" w:eastAsia="宋体"/>
          <w:color w:val="auto"/>
          <w:sz w:val="24"/>
          <w:szCs w:val="24"/>
          <w:highlight w:val="none"/>
          <w:lang w:val="en-US" w:eastAsia="zh-CN"/>
        </w:rPr>
        <w:t>成交</w:t>
      </w:r>
      <w:r>
        <w:rPr>
          <w:rFonts w:hint="eastAsia" w:ascii="宋体" w:hAnsi="宋体" w:eastAsia="宋体" w:cs="宋体"/>
          <w:color w:val="auto"/>
          <w:kern w:val="0"/>
          <w:sz w:val="24"/>
          <w:szCs w:val="24"/>
          <w:highlight w:val="none"/>
        </w:rPr>
        <w:t>原则</w:t>
      </w:r>
    </w:p>
    <w:p w14:paraId="3EDEBCF1">
      <w:pPr>
        <w:pageBreakBefore w:val="0"/>
        <w:kinsoku/>
        <w:overflowPunct/>
        <w:topLinePunct w:val="0"/>
        <w:autoSpaceDE w:val="0"/>
        <w:autoSpaceDN w:val="0"/>
        <w:bidi w:val="0"/>
        <w:adjustRightInd w:val="0"/>
        <w:spacing w:line="36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磋商小组根据综合评分情况，按照评审得分由高到低顺序推荐</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val="en-US" w:eastAsia="zh-CN"/>
        </w:rPr>
        <w:t>成交候选人</w:t>
      </w:r>
      <w:r>
        <w:rPr>
          <w:rFonts w:hint="eastAsia" w:ascii="宋体" w:hAnsi="宋体" w:eastAsia="宋体" w:cs="宋体"/>
          <w:color w:val="auto"/>
          <w:kern w:val="0"/>
          <w:sz w:val="24"/>
          <w:szCs w:val="24"/>
          <w:highlight w:val="none"/>
        </w:rPr>
        <w:t>，并编写评审报告并在报告上签字。评审得分相同的，按照最后报价由低到高的顺序推荐。评审得分且最后报价相同的，按照技术指标优劣顺序推荐。</w:t>
      </w:r>
    </w:p>
    <w:p w14:paraId="4AB8F0DA">
      <w:pPr>
        <w:pageBreakBefore w:val="0"/>
        <w:kinsoku/>
        <w:overflowPunct/>
        <w:topLinePunct w:val="0"/>
        <w:autoSpaceDE w:val="0"/>
        <w:autoSpaceDN w:val="0"/>
        <w:bidi w:val="0"/>
        <w:adjustRightInd w:val="0"/>
        <w:spacing w:line="36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10.1评审报告</w:t>
      </w:r>
    </w:p>
    <w:p w14:paraId="1B6441FD">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磋商小组应当根据评审记录和评审结果编写评审报告，其主要内容包括：</w:t>
      </w:r>
    </w:p>
    <w:p w14:paraId="45C633CD">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（1）磋商活动的具体方式和相关情况，以及参加磋商活动的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名单；</w:t>
      </w:r>
    </w:p>
    <w:p w14:paraId="0C39CF8A">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（2）评审日期和地点，</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小组成员名单；</w:t>
      </w:r>
    </w:p>
    <w:p w14:paraId="03C1958D">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（3）评审情况记录和说明，包括对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的资格审查情况、响应文件评审情况、报价情况等；</w:t>
      </w:r>
    </w:p>
    <w:p w14:paraId="6808265D">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（4）提出的</w:t>
      </w:r>
      <w:r>
        <w:rPr>
          <w:rFonts w:hint="eastAsia" w:ascii="宋体" w:hAnsi="宋体" w:eastAsia="宋体"/>
          <w:color w:val="auto"/>
          <w:sz w:val="24"/>
          <w:szCs w:val="24"/>
          <w:highlight w:val="none"/>
          <w:lang w:val="en-US" w:eastAsia="zh-CN"/>
        </w:rPr>
        <w:t>成交</w:t>
      </w:r>
      <w:r>
        <w:rPr>
          <w:rFonts w:hint="eastAsia" w:ascii="宋体" w:hAnsi="宋体" w:eastAsia="宋体" w:cs="宋体"/>
          <w:color w:val="auto"/>
          <w:sz w:val="24"/>
          <w:szCs w:val="24"/>
          <w:highlight w:val="none"/>
        </w:rPr>
        <w:t>候选人的名单。</w:t>
      </w:r>
    </w:p>
    <w:p w14:paraId="1E1AEAA6">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评审报告应当由磋商小组全体人员签字认可。磋商小组成员对评审报告有异议的，磋商小组按照少数服从多数的原则推荐</w:t>
      </w:r>
      <w:r>
        <w:rPr>
          <w:rFonts w:hint="eastAsia" w:ascii="宋体" w:hAnsi="宋体" w:eastAsia="宋体"/>
          <w:color w:val="auto"/>
          <w:sz w:val="24"/>
          <w:szCs w:val="24"/>
          <w:highlight w:val="none"/>
          <w:lang w:val="en-US" w:eastAsia="zh-CN"/>
        </w:rPr>
        <w:t>成交</w:t>
      </w:r>
      <w:r>
        <w:rPr>
          <w:rFonts w:hint="eastAsia" w:ascii="宋体" w:hAnsi="宋体" w:eastAsia="宋体" w:cs="宋体"/>
          <w:color w:val="auto"/>
          <w:sz w:val="24"/>
          <w:szCs w:val="24"/>
          <w:highlight w:val="none"/>
        </w:rPr>
        <w:t>候选人，招标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049AA77">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40" w:name="_Toc530665441"/>
      <w:bookmarkEnd w:id="40"/>
      <w:bookmarkStart w:id="41" w:name="_Toc511663234"/>
      <w:bookmarkEnd w:id="41"/>
      <w:bookmarkStart w:id="42" w:name="_Toc422126473"/>
      <w:bookmarkEnd w:id="42"/>
      <w:bookmarkStart w:id="43" w:name="_Toc511897551"/>
      <w:bookmarkEnd w:id="43"/>
      <w:bookmarkStart w:id="44" w:name="_Toc428276599"/>
      <w:bookmarkEnd w:id="44"/>
      <w:bookmarkStart w:id="45" w:name="_Toc530663938"/>
      <w:bookmarkEnd w:id="45"/>
      <w:bookmarkStart w:id="46" w:name="_Toc531936130"/>
      <w:bookmarkEnd w:id="46"/>
      <w:bookmarkStart w:id="47" w:name="_Toc455678256"/>
      <w:bookmarkEnd w:id="47"/>
      <w:bookmarkStart w:id="48" w:name="_Toc463011495"/>
      <w:bookmarkEnd w:id="48"/>
      <w:bookmarkStart w:id="49" w:name="_Toc454788286"/>
      <w:bookmarkEnd w:id="49"/>
      <w:bookmarkStart w:id="50" w:name="_Toc530664094"/>
      <w:r>
        <w:rPr>
          <w:rFonts w:hint="eastAsia" w:ascii="宋体" w:hAnsi="宋体" w:eastAsia="宋体" w:cs="宋体"/>
          <w:color w:val="auto"/>
          <w:sz w:val="24"/>
          <w:szCs w:val="24"/>
          <w:highlight w:val="none"/>
        </w:rPr>
        <w:t>11、磋商过程的保密性</w:t>
      </w:r>
      <w:bookmarkEnd w:id="50"/>
    </w:p>
    <w:p w14:paraId="437825D2">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11.1磋商期间，直到授予</w:t>
      </w:r>
      <w:r>
        <w:rPr>
          <w:rFonts w:hint="eastAsia" w:ascii="宋体" w:hAnsi="宋体" w:eastAsia="宋体"/>
          <w:color w:val="auto"/>
          <w:sz w:val="24"/>
          <w:szCs w:val="24"/>
          <w:highlight w:val="none"/>
          <w:lang w:val="en-US" w:eastAsia="zh-CN"/>
        </w:rPr>
        <w:t>成交</w:t>
      </w:r>
      <w:r>
        <w:rPr>
          <w:rFonts w:hint="eastAsia" w:ascii="宋体" w:hAnsi="宋体" w:eastAsia="宋体" w:cs="宋体"/>
          <w:color w:val="auto"/>
          <w:sz w:val="24"/>
          <w:szCs w:val="24"/>
          <w:highlight w:val="none"/>
        </w:rPr>
        <w:t>人合同止，凡是与响应文件审查、澄清、评价、比较以及推荐</w:t>
      </w:r>
      <w:r>
        <w:rPr>
          <w:rFonts w:hint="eastAsia" w:ascii="宋体" w:hAnsi="宋体" w:eastAsia="宋体"/>
          <w:color w:val="auto"/>
          <w:sz w:val="24"/>
          <w:szCs w:val="24"/>
          <w:highlight w:val="none"/>
          <w:lang w:val="en-US" w:eastAsia="zh-CN"/>
        </w:rPr>
        <w:t>成交</w:t>
      </w:r>
      <w:r>
        <w:rPr>
          <w:rFonts w:hint="eastAsia" w:ascii="宋体" w:hAnsi="宋体" w:eastAsia="宋体" w:cs="宋体"/>
          <w:color w:val="auto"/>
          <w:sz w:val="24"/>
          <w:szCs w:val="24"/>
          <w:highlight w:val="none"/>
        </w:rPr>
        <w:t>人等方面的情况，均不得向</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或其他无关的人员透露。</w:t>
      </w:r>
    </w:p>
    <w:p w14:paraId="08513108">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51" w:name="_Toc455678257"/>
      <w:bookmarkEnd w:id="51"/>
      <w:bookmarkStart w:id="52" w:name="_Toc463011496"/>
      <w:bookmarkEnd w:id="52"/>
      <w:bookmarkStart w:id="53" w:name="_Toc511897552"/>
      <w:bookmarkEnd w:id="53"/>
      <w:bookmarkStart w:id="54" w:name="_Toc530663939"/>
      <w:bookmarkEnd w:id="54"/>
      <w:bookmarkStart w:id="55" w:name="_Toc531936131"/>
      <w:bookmarkEnd w:id="55"/>
      <w:bookmarkStart w:id="56" w:name="_Toc530664095"/>
      <w:bookmarkEnd w:id="56"/>
      <w:bookmarkStart w:id="57" w:name="_Toc530665442"/>
      <w:bookmarkEnd w:id="57"/>
      <w:bookmarkStart w:id="58" w:name="_Toc511663235"/>
      <w:r>
        <w:rPr>
          <w:rFonts w:hint="eastAsia" w:ascii="宋体" w:hAnsi="宋体" w:eastAsia="宋体" w:cs="宋体"/>
          <w:color w:val="auto"/>
          <w:sz w:val="24"/>
          <w:szCs w:val="24"/>
          <w:highlight w:val="none"/>
        </w:rPr>
        <w:t>12、终止竞争性磋商采购活动</w:t>
      </w:r>
      <w:bookmarkEnd w:id="58"/>
    </w:p>
    <w:p w14:paraId="7AFE14A6">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应当终止竞争性磋商采购活动，发布项目终止公告并说明原因，重新开展采购活动：</w:t>
      </w:r>
    </w:p>
    <w:p w14:paraId="64E46C78">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（1）因情况变化，不再符合规定的竞争性磋商采购方式适用情形的；</w:t>
      </w:r>
    </w:p>
    <w:p w14:paraId="3DD18B77">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523ABF77">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过程中符合竞争要求的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或者报价未超过招标预算的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家的。</w:t>
      </w:r>
    </w:p>
    <w:p w14:paraId="7B4297A8">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59" w:name="_Toc530665443"/>
      <w:bookmarkEnd w:id="59"/>
      <w:bookmarkStart w:id="60" w:name="_Toc428351660"/>
      <w:bookmarkEnd w:id="60"/>
      <w:bookmarkStart w:id="61" w:name="_Toc463011497"/>
      <w:bookmarkEnd w:id="61"/>
      <w:bookmarkStart w:id="62" w:name="_Toc454788040"/>
      <w:bookmarkEnd w:id="62"/>
      <w:bookmarkStart w:id="63" w:name="_Toc511663236"/>
      <w:bookmarkEnd w:id="63"/>
      <w:bookmarkStart w:id="64" w:name="_Toc531936132"/>
      <w:bookmarkEnd w:id="64"/>
      <w:bookmarkStart w:id="65" w:name="_Toc455678258"/>
      <w:bookmarkEnd w:id="65"/>
      <w:bookmarkStart w:id="66" w:name="_Toc530664096"/>
      <w:bookmarkEnd w:id="66"/>
      <w:bookmarkStart w:id="67" w:name="_Toc511897553"/>
      <w:bookmarkEnd w:id="67"/>
      <w:bookmarkStart w:id="68" w:name="_Toc530663940"/>
      <w:r>
        <w:rPr>
          <w:rFonts w:hint="eastAsia" w:ascii="宋体" w:hAnsi="宋体" w:eastAsia="宋体" w:cs="宋体"/>
          <w:color w:val="auto"/>
          <w:sz w:val="24"/>
          <w:szCs w:val="24"/>
          <w:highlight w:val="none"/>
        </w:rPr>
        <w:t>13、确定</w:t>
      </w:r>
      <w:r>
        <w:rPr>
          <w:rFonts w:hint="eastAsia" w:ascii="宋体" w:hAnsi="宋体" w:eastAsia="宋体"/>
          <w:color w:val="auto"/>
          <w:sz w:val="24"/>
          <w:szCs w:val="24"/>
          <w:highlight w:val="none"/>
          <w:lang w:val="en-US" w:eastAsia="zh-CN"/>
        </w:rPr>
        <w:t>成交</w:t>
      </w:r>
      <w:r>
        <w:rPr>
          <w:rFonts w:hint="eastAsia" w:ascii="宋体" w:hAnsi="宋体" w:eastAsia="宋体" w:cs="宋体"/>
          <w:color w:val="auto"/>
          <w:sz w:val="24"/>
          <w:szCs w:val="24"/>
          <w:highlight w:val="none"/>
        </w:rPr>
        <w:t>人</w:t>
      </w:r>
      <w:bookmarkEnd w:id="68"/>
    </w:p>
    <w:p w14:paraId="46A569AC">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代理机构应当在磋商结束后2个工作日内将评审报告送</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应当在收到评审报告后5个工作日内，按照评审报告中推荐的成交候选人顺序确定成交人，并将结果发布网上</w:t>
      </w:r>
      <w:r>
        <w:rPr>
          <w:rFonts w:hint="eastAsia" w:ascii="宋体" w:hAnsi="宋体" w:eastAsia="宋体" w:cs="宋体"/>
          <w:color w:val="auto"/>
          <w:sz w:val="24"/>
          <w:szCs w:val="24"/>
          <w:highlight w:val="none"/>
          <w:lang w:eastAsia="zh-CN"/>
        </w:rPr>
        <w:t>；</w:t>
      </w:r>
    </w:p>
    <w:p w14:paraId="43CCD67E">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lang w:val="en-US" w:eastAsia="zh-CN"/>
        </w:rPr>
        <w:t>2</w:t>
      </w:r>
      <w:r>
        <w:rPr>
          <w:rFonts w:hint="eastAsia" w:ascii="宋体" w:hAnsi="宋体" w:eastAsia="宋体"/>
          <w:color w:val="auto"/>
          <w:sz w:val="24"/>
          <w:szCs w:val="24"/>
          <w:highlight w:val="none"/>
        </w:rPr>
        <w:t>采购人或者采购代理机构应当在入围供应商确定后2个工作日内，在省级以上财政部门指定的政府采购信息发布媒体上公告</w:t>
      </w:r>
      <w:r>
        <w:rPr>
          <w:rFonts w:hint="eastAsia" w:ascii="宋体" w:hAnsi="宋体" w:eastAsia="宋体"/>
          <w:color w:val="auto"/>
          <w:sz w:val="24"/>
          <w:szCs w:val="24"/>
          <w:highlight w:val="none"/>
          <w:lang w:val="en-US" w:eastAsia="zh-CN"/>
        </w:rPr>
        <w:t>成交</w:t>
      </w:r>
      <w:r>
        <w:rPr>
          <w:rFonts w:hint="eastAsia" w:ascii="宋体" w:hAnsi="宋体" w:eastAsia="宋体"/>
          <w:color w:val="auto"/>
          <w:sz w:val="24"/>
          <w:szCs w:val="24"/>
          <w:highlight w:val="none"/>
        </w:rPr>
        <w:t>结果，同时向</w:t>
      </w:r>
      <w:r>
        <w:rPr>
          <w:rFonts w:hint="eastAsia" w:ascii="宋体" w:hAnsi="宋体" w:eastAsia="宋体"/>
          <w:color w:val="auto"/>
          <w:sz w:val="24"/>
          <w:szCs w:val="24"/>
          <w:highlight w:val="none"/>
          <w:lang w:val="en-US" w:eastAsia="zh-CN"/>
        </w:rPr>
        <w:t>成交</w:t>
      </w:r>
      <w:r>
        <w:rPr>
          <w:rFonts w:hint="eastAsia" w:ascii="宋体" w:hAnsi="宋体" w:eastAsia="宋体"/>
          <w:color w:val="auto"/>
          <w:sz w:val="24"/>
          <w:szCs w:val="24"/>
          <w:highlight w:val="none"/>
        </w:rPr>
        <w:t>供应商发出</w:t>
      </w:r>
      <w:r>
        <w:rPr>
          <w:rFonts w:hint="eastAsia" w:ascii="宋体" w:hAnsi="宋体" w:eastAsia="宋体"/>
          <w:color w:val="auto"/>
          <w:sz w:val="24"/>
          <w:szCs w:val="24"/>
          <w:highlight w:val="none"/>
          <w:lang w:val="en-US" w:eastAsia="zh-CN"/>
        </w:rPr>
        <w:t>成交</w:t>
      </w:r>
      <w:r>
        <w:rPr>
          <w:rFonts w:hint="eastAsia" w:ascii="宋体" w:hAnsi="宋体" w:eastAsia="宋体"/>
          <w:color w:val="auto"/>
          <w:sz w:val="24"/>
          <w:szCs w:val="24"/>
          <w:highlight w:val="none"/>
        </w:rPr>
        <w:t>通知书</w:t>
      </w:r>
      <w:r>
        <w:rPr>
          <w:rFonts w:hint="eastAsia" w:ascii="宋体" w:hAnsi="宋体" w:eastAsia="宋体" w:cs="宋体"/>
          <w:color w:val="auto"/>
          <w:sz w:val="24"/>
          <w:szCs w:val="24"/>
          <w:highlight w:val="none"/>
        </w:rPr>
        <w:t>。</w:t>
      </w:r>
    </w:p>
    <w:p w14:paraId="3161FF53">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highlight w:val="none"/>
        </w:rPr>
      </w:pPr>
      <w:r>
        <w:rPr>
          <w:rFonts w:hint="eastAsia" w:ascii="宋体" w:hAnsi="宋体" w:eastAsia="宋体" w:cs="宋体"/>
          <w:color w:val="auto"/>
          <w:sz w:val="24"/>
          <w:szCs w:val="24"/>
          <w:highlight w:val="none"/>
          <w:lang w:val="en-US" w:eastAsia="zh-CN"/>
        </w:rPr>
        <w:t>13.3</w:t>
      </w:r>
      <w:r>
        <w:rPr>
          <w:rFonts w:hint="eastAsia" w:ascii="宋体" w:hAnsi="宋体" w:eastAsia="宋体"/>
          <w:color w:val="auto"/>
          <w:sz w:val="24"/>
          <w:szCs w:val="24"/>
          <w:highlight w:val="none"/>
          <w:lang w:val="en-US" w:eastAsia="zh-CN"/>
        </w:rPr>
        <w:t>成交</w:t>
      </w:r>
      <w:r>
        <w:rPr>
          <w:rFonts w:hint="eastAsia" w:ascii="宋体" w:hAnsi="宋体" w:eastAsia="宋体"/>
          <w:color w:val="auto"/>
          <w:sz w:val="24"/>
          <w:szCs w:val="24"/>
          <w:highlight w:val="none"/>
        </w:rPr>
        <w:t>供应商拒绝签订政府采购合同的，采购人将把排名顺延的</w:t>
      </w:r>
      <w:r>
        <w:rPr>
          <w:rFonts w:hint="eastAsia" w:ascii="宋体" w:hAnsi="宋体" w:eastAsia="宋体"/>
          <w:color w:val="auto"/>
          <w:sz w:val="24"/>
          <w:szCs w:val="24"/>
          <w:highlight w:val="none"/>
          <w:lang w:val="en-US" w:eastAsia="zh-CN"/>
        </w:rPr>
        <w:t>成交</w:t>
      </w:r>
      <w:r>
        <w:rPr>
          <w:rFonts w:hint="eastAsia" w:ascii="宋体" w:hAnsi="宋体" w:eastAsia="宋体"/>
          <w:color w:val="auto"/>
          <w:sz w:val="24"/>
          <w:szCs w:val="24"/>
          <w:highlight w:val="none"/>
        </w:rPr>
        <w:t>候选供应商作为</w:t>
      </w:r>
      <w:r>
        <w:rPr>
          <w:rFonts w:hint="eastAsia" w:ascii="宋体" w:hAnsi="宋体" w:eastAsia="宋体"/>
          <w:color w:val="auto"/>
          <w:sz w:val="24"/>
          <w:szCs w:val="24"/>
          <w:highlight w:val="none"/>
          <w:lang w:val="en-US" w:eastAsia="zh-CN"/>
        </w:rPr>
        <w:t>成交</w:t>
      </w:r>
      <w:r>
        <w:rPr>
          <w:rFonts w:hint="eastAsia" w:ascii="宋体" w:hAnsi="宋体" w:eastAsia="宋体"/>
          <w:color w:val="auto"/>
          <w:sz w:val="24"/>
          <w:szCs w:val="24"/>
          <w:highlight w:val="none"/>
        </w:rPr>
        <w:t>供应商并签订政府采购合同（以此类推）,也可以重新开展采购活动。拒绝签订政府采购合同的</w:t>
      </w:r>
      <w:r>
        <w:rPr>
          <w:rFonts w:hint="eastAsia" w:ascii="宋体" w:hAnsi="宋体" w:eastAsia="宋体"/>
          <w:color w:val="auto"/>
          <w:sz w:val="24"/>
          <w:szCs w:val="24"/>
          <w:highlight w:val="none"/>
          <w:lang w:val="en-US" w:eastAsia="zh-CN"/>
        </w:rPr>
        <w:t>成交</w:t>
      </w:r>
      <w:r>
        <w:rPr>
          <w:rFonts w:hint="eastAsia" w:ascii="宋体" w:hAnsi="宋体" w:eastAsia="宋体"/>
          <w:color w:val="auto"/>
          <w:sz w:val="24"/>
          <w:szCs w:val="24"/>
          <w:highlight w:val="none"/>
        </w:rPr>
        <w:t>供应商不得参加对该项目重新开展的采购活动</w:t>
      </w:r>
      <w:r>
        <w:rPr>
          <w:rFonts w:hint="eastAsia" w:ascii="宋体" w:hAnsi="宋体" w:eastAsia="宋体" w:cs="宋体"/>
          <w:color w:val="auto"/>
          <w:sz w:val="24"/>
          <w:szCs w:val="24"/>
          <w:highlight w:val="none"/>
        </w:rPr>
        <w:t>。</w:t>
      </w:r>
      <w:r>
        <w:rPr>
          <w:rFonts w:hint="eastAsia" w:ascii="宋体" w:hAnsi="宋体" w:eastAsia="宋体" w:cs="宋体"/>
          <w:sz w:val="24"/>
          <w:szCs w:val="24"/>
          <w:highlight w:val="none"/>
        </w:rPr>
        <w:t xml:space="preserve"> </w:t>
      </w:r>
    </w:p>
    <w:p w14:paraId="16C866CB">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69" w:name="_Toc454788041"/>
      <w:bookmarkEnd w:id="69"/>
      <w:bookmarkStart w:id="70" w:name="_Toc455678134"/>
      <w:bookmarkEnd w:id="70"/>
      <w:bookmarkStart w:id="71" w:name="_Toc530665444"/>
      <w:bookmarkEnd w:id="71"/>
      <w:bookmarkStart w:id="72" w:name="_Toc511897554"/>
      <w:bookmarkEnd w:id="72"/>
      <w:bookmarkStart w:id="73" w:name="_Toc428276601"/>
      <w:bookmarkEnd w:id="73"/>
      <w:bookmarkStart w:id="74" w:name="_Toc530664097"/>
      <w:bookmarkEnd w:id="74"/>
      <w:bookmarkStart w:id="75" w:name="_Toc422126474"/>
      <w:bookmarkEnd w:id="75"/>
      <w:bookmarkStart w:id="76" w:name="_Toc530663941"/>
      <w:bookmarkEnd w:id="76"/>
      <w:bookmarkStart w:id="77" w:name="_Toc531936133"/>
      <w:bookmarkEnd w:id="77"/>
      <w:bookmarkStart w:id="78" w:name="_Toc428351661"/>
      <w:bookmarkEnd w:id="78"/>
      <w:bookmarkStart w:id="79" w:name="_Toc463011498"/>
      <w:bookmarkEnd w:id="79"/>
      <w:bookmarkStart w:id="80" w:name="_Toc511663237"/>
      <w:r>
        <w:rPr>
          <w:rFonts w:hint="eastAsia" w:ascii="宋体" w:hAnsi="宋体" w:eastAsia="宋体" w:cs="宋体"/>
          <w:color w:val="auto"/>
          <w:sz w:val="24"/>
          <w:szCs w:val="24"/>
          <w:highlight w:val="none"/>
        </w:rPr>
        <w:t>14、成交结果</w:t>
      </w:r>
      <w:bookmarkEnd w:id="80"/>
      <w:r>
        <w:rPr>
          <w:rFonts w:hint="eastAsia" w:ascii="宋体" w:hAnsi="宋体" w:eastAsia="宋体" w:cs="宋体"/>
          <w:color w:val="auto"/>
          <w:sz w:val="24"/>
          <w:szCs w:val="24"/>
          <w:highlight w:val="none"/>
        </w:rPr>
        <w:t>公告</w:t>
      </w:r>
    </w:p>
    <w:p w14:paraId="4D44747A">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应当在</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人确定后2个工作日内，在</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公告发布的同一媒介上发布成交结果，同时向</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发出</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通知书，并将磋商文件随成交结果同时公告，</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公告期限1个工作日。</w:t>
      </w:r>
      <w:bookmarkStart w:id="81" w:name="_Toc454788042"/>
      <w:bookmarkEnd w:id="81"/>
    </w:p>
    <w:p w14:paraId="6A41750D">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82" w:name="_Toc530665445"/>
      <w:bookmarkEnd w:id="82"/>
      <w:bookmarkStart w:id="83" w:name="_Toc270604607"/>
      <w:bookmarkEnd w:id="83"/>
      <w:bookmarkStart w:id="84" w:name="_Toc530663942"/>
      <w:bookmarkEnd w:id="84"/>
      <w:bookmarkStart w:id="85" w:name="_Toc531936134"/>
      <w:bookmarkEnd w:id="85"/>
      <w:bookmarkStart w:id="86" w:name="_Toc530664098"/>
      <w:r>
        <w:rPr>
          <w:rFonts w:hint="eastAsia" w:ascii="宋体" w:hAnsi="宋体" w:eastAsia="宋体" w:cs="宋体"/>
          <w:color w:val="auto"/>
          <w:sz w:val="24"/>
          <w:szCs w:val="24"/>
          <w:highlight w:val="none"/>
        </w:rPr>
        <w:t>15、合同授予</w:t>
      </w:r>
      <w:bookmarkEnd w:id="86"/>
    </w:p>
    <w:p w14:paraId="4FA3DE20">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15.1成交结果公示的同时，</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以书面形式向</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人发出</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336D3B62">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87" w:name="_Toc530665447"/>
      <w:bookmarkEnd w:id="87"/>
      <w:bookmarkStart w:id="88" w:name="_Toc463011501"/>
      <w:bookmarkEnd w:id="88"/>
      <w:bookmarkStart w:id="89" w:name="_Toc530664100"/>
      <w:bookmarkEnd w:id="89"/>
      <w:bookmarkStart w:id="90" w:name="_Toc511897557"/>
      <w:bookmarkEnd w:id="90"/>
      <w:bookmarkStart w:id="91" w:name="_Toc511663240"/>
      <w:bookmarkEnd w:id="91"/>
      <w:bookmarkStart w:id="92" w:name="_Toc455678262"/>
      <w:bookmarkEnd w:id="92"/>
      <w:bookmarkStart w:id="93" w:name="_Toc531936136"/>
      <w:bookmarkEnd w:id="93"/>
      <w:bookmarkStart w:id="94" w:name="_Toc530663944"/>
      <w:bookmarkEnd w:id="94"/>
      <w:bookmarkStart w:id="95" w:name="_Toc269470335"/>
      <w:r>
        <w:rPr>
          <w:rFonts w:hint="eastAsia" w:ascii="宋体" w:hAnsi="宋体" w:eastAsia="宋体" w:cs="宋体"/>
          <w:color w:val="auto"/>
          <w:sz w:val="24"/>
          <w:szCs w:val="24"/>
          <w:highlight w:val="none"/>
        </w:rPr>
        <w:t xml:space="preserve">15.2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的最后一轮报价为成交价，成交价即为合同价。</w:t>
      </w:r>
      <w:bookmarkEnd w:id="95"/>
    </w:p>
    <w:p w14:paraId="756D7426">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96" w:name="_Toc530663945"/>
      <w:bookmarkEnd w:id="96"/>
      <w:bookmarkStart w:id="97" w:name="_Toc530664101"/>
      <w:bookmarkEnd w:id="97"/>
      <w:bookmarkStart w:id="98" w:name="_Toc511663241"/>
      <w:bookmarkEnd w:id="98"/>
      <w:bookmarkStart w:id="99" w:name="_Toc511897558"/>
      <w:bookmarkEnd w:id="99"/>
      <w:bookmarkStart w:id="100" w:name="_Toc463011502"/>
      <w:bookmarkEnd w:id="100"/>
      <w:bookmarkStart w:id="101" w:name="_Toc530665448"/>
      <w:bookmarkEnd w:id="101"/>
      <w:bookmarkStart w:id="102" w:name="_Toc531936137"/>
      <w:bookmarkEnd w:id="102"/>
      <w:bookmarkStart w:id="103" w:name="_Toc455678263"/>
      <w:r>
        <w:rPr>
          <w:rFonts w:hint="eastAsia" w:ascii="宋体" w:hAnsi="宋体" w:eastAsia="宋体" w:cs="宋体"/>
          <w:color w:val="auto"/>
          <w:sz w:val="24"/>
          <w:szCs w:val="24"/>
          <w:highlight w:val="none"/>
        </w:rPr>
        <w:t xml:space="preserve">15.3 </w:t>
      </w:r>
      <w:r>
        <w:rPr>
          <w:rFonts w:hint="eastAsia" w:ascii="宋体" w:hAnsi="宋体" w:cs="宋体"/>
          <w:color w:val="auto"/>
          <w:sz w:val="24"/>
          <w:szCs w:val="24"/>
          <w:highlight w:val="none"/>
          <w:lang w:val="en-US" w:eastAsia="zh-CN"/>
        </w:rPr>
        <w:t>根据（三财购【2021】9号），</w:t>
      </w:r>
      <w:r>
        <w:rPr>
          <w:rFonts w:hint="eastAsia" w:ascii="宋体" w:hAnsi="宋体" w:cs="宋体"/>
          <w:color w:val="auto"/>
          <w:sz w:val="24"/>
          <w:szCs w:val="24"/>
          <w:highlight w:val="none"/>
        </w:rPr>
        <w:t>集中采购目录以外政府采购项目，原则上自中标通知书发出之日起2个工作日内与中标(成交)供应商按照采购文件确定的事项与供应商签订政府采购合同，具体的合同条款待甲乙双方商定</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合同签订应</w:t>
      </w:r>
      <w:r>
        <w:rPr>
          <w:rFonts w:hint="eastAsia" w:ascii="宋体" w:hAnsi="宋体" w:eastAsia="宋体" w:cs="宋体"/>
          <w:color w:val="auto"/>
          <w:sz w:val="24"/>
          <w:szCs w:val="24"/>
          <w:highlight w:val="none"/>
        </w:rPr>
        <w:t>根据竞争性磋商文件、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的响应性文件及在磋商过程中对响应性文件作出的澄清、解释订立书面合同。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无正当理由拒签合同的，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取消其成交资格，并追究其违约责任。</w:t>
      </w:r>
      <w:bookmarkEnd w:id="103"/>
      <w:r>
        <w:rPr>
          <w:rFonts w:hint="eastAsia" w:ascii="宋体" w:hAnsi="宋体" w:eastAsia="宋体" w:cs="宋体"/>
          <w:color w:val="auto"/>
          <w:sz w:val="24"/>
          <w:szCs w:val="24"/>
          <w:highlight w:val="none"/>
        </w:rPr>
        <w:t>在此情况下，</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可将合同授予排名次</w:t>
      </w:r>
      <w:r>
        <w:rPr>
          <w:rFonts w:hint="eastAsia" w:ascii="宋体" w:hAnsi="宋体" w:eastAsia="宋体" w:cs="宋体"/>
          <w:color w:val="auto"/>
          <w:sz w:val="24"/>
          <w:szCs w:val="24"/>
          <w:highlight w:val="none"/>
          <w:lang w:val="en-US" w:eastAsia="zh-CN"/>
        </w:rPr>
        <w:t>高</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lang w:val="en-US" w:eastAsia="zh-CN"/>
        </w:rPr>
        <w:t>也可重新开展招标活动</w:t>
      </w:r>
      <w:r>
        <w:rPr>
          <w:rFonts w:hint="eastAsia" w:ascii="宋体" w:hAnsi="宋体" w:eastAsia="宋体" w:cs="宋体"/>
          <w:color w:val="auto"/>
          <w:sz w:val="24"/>
          <w:szCs w:val="24"/>
          <w:highlight w:val="none"/>
        </w:rPr>
        <w:t>。</w:t>
      </w:r>
    </w:p>
    <w:p w14:paraId="585A308D">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15.4在签订合同过程中，如发现</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人以他人名义磋商或者以其他方式弄虚作假，骗取</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有权取消其</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资格。</w:t>
      </w:r>
    </w:p>
    <w:p w14:paraId="46A88028">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104" w:name="_Toc463011503"/>
      <w:bookmarkEnd w:id="104"/>
      <w:bookmarkStart w:id="105" w:name="_Toc530663950"/>
      <w:bookmarkEnd w:id="105"/>
      <w:bookmarkStart w:id="106" w:name="_Toc530664106"/>
      <w:bookmarkEnd w:id="106"/>
      <w:bookmarkStart w:id="107" w:name="_Toc530664102"/>
      <w:bookmarkEnd w:id="107"/>
      <w:bookmarkStart w:id="108" w:name="_Toc455678264"/>
      <w:bookmarkEnd w:id="108"/>
      <w:bookmarkStart w:id="109" w:name="_Toc269470338"/>
      <w:bookmarkEnd w:id="109"/>
      <w:bookmarkStart w:id="110" w:name="_Toc531936138"/>
      <w:bookmarkEnd w:id="110"/>
      <w:bookmarkStart w:id="111" w:name="_Toc531936142"/>
      <w:bookmarkEnd w:id="111"/>
      <w:bookmarkStart w:id="112" w:name="_Toc530665453"/>
      <w:bookmarkEnd w:id="112"/>
      <w:bookmarkStart w:id="113" w:name="_Toc530663946"/>
      <w:bookmarkEnd w:id="113"/>
      <w:bookmarkStart w:id="114" w:name="_Toc511663242"/>
      <w:bookmarkEnd w:id="114"/>
      <w:bookmarkStart w:id="115" w:name="_Toc455678266"/>
      <w:bookmarkEnd w:id="115"/>
      <w:bookmarkStart w:id="116" w:name="_Toc530665449"/>
      <w:bookmarkEnd w:id="116"/>
      <w:bookmarkStart w:id="117" w:name="_Toc270604610"/>
      <w:r>
        <w:rPr>
          <w:rFonts w:hint="eastAsia" w:ascii="宋体" w:hAnsi="宋体" w:eastAsia="宋体" w:cs="宋体"/>
          <w:color w:val="auto"/>
          <w:sz w:val="24"/>
          <w:szCs w:val="24"/>
          <w:highlight w:val="none"/>
        </w:rPr>
        <w:t>16、纪律和监督</w:t>
      </w:r>
      <w:bookmarkEnd w:id="117"/>
      <w:bookmarkStart w:id="118" w:name="_Toc277149399"/>
      <w:bookmarkEnd w:id="118"/>
      <w:bookmarkStart w:id="119" w:name="_Toc428276606"/>
      <w:bookmarkEnd w:id="119"/>
      <w:bookmarkStart w:id="120" w:name="_Toc269470339"/>
      <w:bookmarkEnd w:id="120"/>
      <w:bookmarkStart w:id="121" w:name="_Toc530664107"/>
      <w:bookmarkEnd w:id="121"/>
      <w:bookmarkStart w:id="122" w:name="_Toc530663951"/>
      <w:bookmarkEnd w:id="122"/>
      <w:bookmarkStart w:id="123" w:name="_Toc511897564"/>
      <w:bookmarkEnd w:id="123"/>
      <w:bookmarkStart w:id="124" w:name="_Toc454788293"/>
      <w:bookmarkEnd w:id="124"/>
      <w:bookmarkStart w:id="125" w:name="_Toc455678274"/>
      <w:bookmarkEnd w:id="125"/>
      <w:bookmarkStart w:id="126" w:name="_Toc463011513"/>
      <w:bookmarkEnd w:id="126"/>
      <w:bookmarkStart w:id="127" w:name="_Toc511663247"/>
      <w:bookmarkEnd w:id="127"/>
      <w:bookmarkStart w:id="128" w:name="_Toc531936143"/>
      <w:bookmarkEnd w:id="128"/>
      <w:bookmarkStart w:id="129" w:name="_Toc270604611"/>
      <w:bookmarkEnd w:id="129"/>
      <w:bookmarkStart w:id="130" w:name="_Toc270604838"/>
      <w:bookmarkEnd w:id="130"/>
      <w:bookmarkStart w:id="131" w:name="_Toc530665454"/>
      <w:bookmarkEnd w:id="131"/>
    </w:p>
    <w:p w14:paraId="57280A9C">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16.1对</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的纪律要求：</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不得泄漏竞争性磋商中应当保密的情况和资料，不得与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串通损害国家利益、社会公共利益或者他人合法权益。</w:t>
      </w:r>
    </w:p>
    <w:p w14:paraId="4A0735F9">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132" w:name="_Toc270604612"/>
      <w:bookmarkEnd w:id="132"/>
      <w:bookmarkStart w:id="133" w:name="_Toc428276607"/>
      <w:bookmarkEnd w:id="133"/>
      <w:bookmarkStart w:id="134" w:name="_Toc454788294"/>
      <w:bookmarkEnd w:id="134"/>
      <w:bookmarkStart w:id="135" w:name="_Toc531936144"/>
      <w:bookmarkEnd w:id="135"/>
      <w:bookmarkStart w:id="136" w:name="_Toc270604839"/>
      <w:bookmarkEnd w:id="136"/>
      <w:bookmarkStart w:id="137" w:name="_Toc530665455"/>
      <w:bookmarkEnd w:id="137"/>
      <w:bookmarkStart w:id="138" w:name="_Toc530663952"/>
      <w:bookmarkEnd w:id="138"/>
      <w:bookmarkStart w:id="139" w:name="_Toc511663248"/>
      <w:bookmarkEnd w:id="139"/>
      <w:bookmarkStart w:id="140" w:name="_Toc455678275"/>
      <w:bookmarkEnd w:id="140"/>
      <w:bookmarkStart w:id="141" w:name="_Toc277149400"/>
      <w:bookmarkEnd w:id="141"/>
      <w:bookmarkStart w:id="142" w:name="_Toc269470340"/>
      <w:bookmarkEnd w:id="142"/>
      <w:bookmarkStart w:id="143" w:name="_Toc530664108"/>
      <w:bookmarkEnd w:id="143"/>
      <w:bookmarkStart w:id="144" w:name="_Toc463011514"/>
      <w:bookmarkEnd w:id="144"/>
      <w:bookmarkStart w:id="145" w:name="_Toc511897565"/>
      <w:r>
        <w:rPr>
          <w:rFonts w:hint="eastAsia" w:ascii="宋体" w:hAnsi="宋体" w:eastAsia="宋体" w:cs="宋体"/>
          <w:color w:val="auto"/>
          <w:sz w:val="24"/>
          <w:szCs w:val="24"/>
          <w:highlight w:val="none"/>
        </w:rPr>
        <w:t>16.2对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的纪律要求</w:t>
      </w:r>
      <w:bookmarkEnd w:id="145"/>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不得相互串通或者与</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串通，不得向</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或者磋商小组成员行贿谋取</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，不得以他人名义磋商或者以其他方式弄虚作假骗取</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不得以任何方式干扰、影响磋商工作。</w:t>
      </w:r>
    </w:p>
    <w:p w14:paraId="3481F90F">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146" w:name="_Toc454788295"/>
      <w:bookmarkEnd w:id="146"/>
      <w:bookmarkStart w:id="147" w:name="_Toc531936145"/>
      <w:bookmarkEnd w:id="147"/>
      <w:bookmarkStart w:id="148" w:name="_Toc530663953"/>
      <w:bookmarkEnd w:id="148"/>
      <w:bookmarkStart w:id="149" w:name="_Toc269470341"/>
      <w:bookmarkEnd w:id="149"/>
      <w:bookmarkStart w:id="150" w:name="_Toc530664109"/>
      <w:bookmarkEnd w:id="150"/>
      <w:bookmarkStart w:id="151" w:name="_Toc511897566"/>
      <w:bookmarkEnd w:id="151"/>
      <w:bookmarkStart w:id="152" w:name="_Toc270604840"/>
      <w:bookmarkEnd w:id="152"/>
      <w:bookmarkStart w:id="153" w:name="_Toc530665456"/>
      <w:bookmarkEnd w:id="153"/>
      <w:bookmarkStart w:id="154" w:name="_Toc455678276"/>
      <w:bookmarkEnd w:id="154"/>
      <w:bookmarkStart w:id="155" w:name="_Toc270604613"/>
      <w:bookmarkEnd w:id="155"/>
      <w:bookmarkStart w:id="156" w:name="_Toc277149401"/>
      <w:bookmarkEnd w:id="156"/>
      <w:bookmarkStart w:id="157" w:name="_Toc463011515"/>
      <w:bookmarkEnd w:id="157"/>
      <w:bookmarkStart w:id="158" w:name="_Toc428276608"/>
      <w:bookmarkEnd w:id="158"/>
      <w:bookmarkStart w:id="159" w:name="_Toc511663249"/>
      <w:r>
        <w:rPr>
          <w:rFonts w:hint="eastAsia" w:ascii="宋体" w:hAnsi="宋体" w:eastAsia="宋体" w:cs="宋体"/>
          <w:color w:val="auto"/>
          <w:sz w:val="24"/>
          <w:szCs w:val="24"/>
          <w:highlight w:val="none"/>
        </w:rPr>
        <w:t>16.3对磋商小组成员的纪律要求</w:t>
      </w:r>
      <w:bookmarkEnd w:id="159"/>
      <w:r>
        <w:rPr>
          <w:rFonts w:hint="eastAsia" w:ascii="宋体" w:hAnsi="宋体" w:eastAsia="宋体" w:cs="宋体"/>
          <w:color w:val="auto"/>
          <w:sz w:val="24"/>
          <w:szCs w:val="24"/>
          <w:highlight w:val="none"/>
        </w:rPr>
        <w:t>：磋商小组成员不得收受他人的财物或者其他好处，不得向他人透漏对响应文件的评审和比较、</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候选人的推荐情况以及与磋商有关的其他情况。在磋商活动中，磋商小组成员不得擅离职守，影响磋商程序正常进行。</w:t>
      </w:r>
    </w:p>
    <w:p w14:paraId="23975FEB">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160" w:name="_Toc530665457"/>
      <w:bookmarkEnd w:id="160"/>
      <w:bookmarkStart w:id="161" w:name="_Toc269470342"/>
      <w:bookmarkEnd w:id="161"/>
      <w:bookmarkStart w:id="162" w:name="_Toc454788296"/>
      <w:bookmarkEnd w:id="162"/>
      <w:bookmarkStart w:id="163" w:name="_Toc531936146"/>
      <w:bookmarkEnd w:id="163"/>
      <w:bookmarkStart w:id="164" w:name="_Toc463011516"/>
      <w:bookmarkEnd w:id="164"/>
      <w:bookmarkStart w:id="165" w:name="_Toc277149402"/>
      <w:bookmarkEnd w:id="165"/>
      <w:bookmarkStart w:id="166" w:name="_Toc270604614"/>
      <w:bookmarkEnd w:id="166"/>
      <w:bookmarkStart w:id="167" w:name="_Toc511663250"/>
      <w:bookmarkEnd w:id="167"/>
      <w:bookmarkStart w:id="168" w:name="_Toc530663954"/>
      <w:bookmarkEnd w:id="168"/>
      <w:bookmarkStart w:id="169" w:name="_Toc511897567"/>
      <w:bookmarkEnd w:id="169"/>
      <w:bookmarkStart w:id="170" w:name="_Toc455678277"/>
      <w:bookmarkEnd w:id="170"/>
      <w:bookmarkStart w:id="171" w:name="_Toc270604841"/>
      <w:bookmarkEnd w:id="171"/>
      <w:bookmarkStart w:id="172" w:name="_Toc530664110"/>
      <w:bookmarkEnd w:id="172"/>
      <w:bookmarkStart w:id="173" w:name="_Toc428276609"/>
      <w:r>
        <w:rPr>
          <w:rFonts w:hint="eastAsia" w:ascii="宋体" w:hAnsi="宋体" w:eastAsia="宋体" w:cs="宋体"/>
          <w:color w:val="auto"/>
          <w:sz w:val="24"/>
          <w:szCs w:val="24"/>
          <w:highlight w:val="none"/>
        </w:rPr>
        <w:t>16.4对与磋商活动有关的工作人员的纪律要求</w:t>
      </w:r>
      <w:bookmarkEnd w:id="173"/>
      <w:r>
        <w:rPr>
          <w:rFonts w:hint="eastAsia" w:ascii="宋体" w:hAnsi="宋体" w:eastAsia="宋体" w:cs="宋体"/>
          <w:color w:val="auto"/>
          <w:sz w:val="24"/>
          <w:szCs w:val="24"/>
          <w:highlight w:val="none"/>
        </w:rPr>
        <w:t>：与磋商活动有关的工作人员不得收受他人的财物或者其他好处，不得向他人透漏对响应文件的评审和比较、</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候选人的推荐情况以及与</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有关的其他情况。在磋商活动中，与磋商活动有关的工作人员不得擅离职守，影响磋商程序正常进行。</w:t>
      </w:r>
    </w:p>
    <w:p w14:paraId="03316380">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174" w:name="_Toc269470343"/>
      <w:bookmarkEnd w:id="174"/>
      <w:bookmarkStart w:id="175" w:name="_Toc270604842"/>
      <w:bookmarkEnd w:id="175"/>
      <w:bookmarkStart w:id="176" w:name="_Toc454788297"/>
      <w:bookmarkEnd w:id="176"/>
      <w:bookmarkStart w:id="177" w:name="_Toc455678278"/>
      <w:bookmarkEnd w:id="177"/>
      <w:bookmarkStart w:id="178" w:name="_Toc530663955"/>
      <w:bookmarkEnd w:id="178"/>
      <w:bookmarkStart w:id="179" w:name="_Toc511897568"/>
      <w:bookmarkEnd w:id="179"/>
      <w:bookmarkStart w:id="180" w:name="_Toc428276610"/>
      <w:bookmarkEnd w:id="180"/>
      <w:bookmarkStart w:id="181" w:name="_Toc270604615"/>
      <w:bookmarkEnd w:id="181"/>
      <w:bookmarkStart w:id="182" w:name="_Toc531936147"/>
      <w:bookmarkEnd w:id="182"/>
      <w:bookmarkStart w:id="183" w:name="_Toc463011517"/>
      <w:bookmarkEnd w:id="183"/>
      <w:bookmarkStart w:id="184" w:name="_Toc530665458"/>
      <w:bookmarkEnd w:id="184"/>
      <w:bookmarkStart w:id="185" w:name="_Toc530664111"/>
      <w:bookmarkEnd w:id="185"/>
      <w:bookmarkStart w:id="186" w:name="_Toc277149403"/>
      <w:bookmarkEnd w:id="186"/>
      <w:bookmarkStart w:id="187" w:name="_Toc511663251"/>
      <w:r>
        <w:rPr>
          <w:rFonts w:hint="eastAsia" w:ascii="宋体" w:hAnsi="宋体" w:eastAsia="宋体" w:cs="宋体"/>
          <w:color w:val="auto"/>
          <w:sz w:val="24"/>
          <w:szCs w:val="24"/>
          <w:highlight w:val="none"/>
        </w:rPr>
        <w:t>17、投诉</w:t>
      </w:r>
      <w:bookmarkEnd w:id="187"/>
    </w:p>
    <w:p w14:paraId="17A5B0A6">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和其他利害关系人认为本次竞争性磋商违反法律、法规和规章规定的，有权向有关行政监督部门投诉。</w:t>
      </w:r>
    </w:p>
    <w:p w14:paraId="2012DE45">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188" w:name="_Toc531936148"/>
      <w:bookmarkEnd w:id="188"/>
      <w:bookmarkStart w:id="189" w:name="_Toc428351670"/>
      <w:bookmarkEnd w:id="189"/>
      <w:bookmarkStart w:id="190" w:name="_Toc530665459"/>
      <w:bookmarkEnd w:id="190"/>
      <w:bookmarkStart w:id="191" w:name="_Toc530664112"/>
      <w:bookmarkEnd w:id="191"/>
      <w:bookmarkStart w:id="192" w:name="_Toc530663956"/>
      <w:bookmarkEnd w:id="192"/>
      <w:bookmarkStart w:id="193" w:name="_Toc454788050"/>
      <w:r>
        <w:rPr>
          <w:rFonts w:hint="eastAsia" w:ascii="宋体" w:hAnsi="宋体" w:eastAsia="宋体" w:cs="宋体"/>
          <w:color w:val="auto"/>
          <w:sz w:val="24"/>
          <w:szCs w:val="24"/>
          <w:highlight w:val="none"/>
        </w:rPr>
        <w:t>17.1询问、质疑和投诉</w:t>
      </w:r>
      <w:bookmarkEnd w:id="193"/>
    </w:p>
    <w:p w14:paraId="67172BD6">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194" w:name="_Toc463011519"/>
      <w:bookmarkEnd w:id="194"/>
      <w:bookmarkStart w:id="195" w:name="_Toc531936149"/>
      <w:bookmarkEnd w:id="195"/>
      <w:bookmarkStart w:id="196" w:name="_Toc530665460"/>
      <w:bookmarkEnd w:id="196"/>
      <w:bookmarkStart w:id="197" w:name="_Toc455678154"/>
      <w:bookmarkEnd w:id="197"/>
      <w:bookmarkStart w:id="198" w:name="_Toc511663253"/>
      <w:bookmarkEnd w:id="198"/>
      <w:bookmarkStart w:id="199" w:name="_Toc530664113"/>
      <w:bookmarkEnd w:id="199"/>
      <w:bookmarkStart w:id="200" w:name="_Toc530663957"/>
      <w:bookmarkEnd w:id="200"/>
      <w:bookmarkStart w:id="201" w:name="_Toc511897570"/>
      <w:bookmarkEnd w:id="201"/>
      <w:bookmarkStart w:id="202" w:name="_Toc454788051"/>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或有关当事人对磋商过程、成交结果有异议的，可以向</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提出询问。</w:t>
      </w:r>
      <w:bookmarkEnd w:id="202"/>
    </w:p>
    <w:p w14:paraId="6F082DCE">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203" w:name="_Toc511897571"/>
      <w:bookmarkEnd w:id="203"/>
      <w:bookmarkStart w:id="204" w:name="_Toc511663254"/>
      <w:bookmarkEnd w:id="204"/>
      <w:bookmarkStart w:id="205" w:name="_Toc531936150"/>
      <w:bookmarkEnd w:id="205"/>
      <w:bookmarkStart w:id="206" w:name="_Toc455678155"/>
      <w:bookmarkEnd w:id="206"/>
      <w:bookmarkStart w:id="207" w:name="_Toc463011520"/>
      <w:bookmarkEnd w:id="207"/>
      <w:bookmarkStart w:id="208" w:name="_Toc530664114"/>
      <w:bookmarkEnd w:id="208"/>
      <w:bookmarkStart w:id="209" w:name="_Toc530665461"/>
      <w:bookmarkEnd w:id="209"/>
      <w:bookmarkStart w:id="210" w:name="_Toc530663958"/>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应当在三个工作日内对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依法提出的询问作出答复。</w:t>
      </w:r>
      <w:bookmarkEnd w:id="210"/>
    </w:p>
    <w:p w14:paraId="176290DA">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211" w:name="_Toc511897572"/>
      <w:bookmarkEnd w:id="211"/>
      <w:bookmarkStart w:id="212" w:name="_Toc463011521"/>
      <w:bookmarkEnd w:id="212"/>
      <w:bookmarkStart w:id="213" w:name="_Toc455678156"/>
      <w:bookmarkEnd w:id="213"/>
      <w:bookmarkStart w:id="214" w:name="_Toc530663959"/>
      <w:bookmarkEnd w:id="214"/>
      <w:bookmarkStart w:id="215" w:name="_Toc511663255"/>
      <w:bookmarkEnd w:id="215"/>
      <w:bookmarkStart w:id="216" w:name="_Toc531936151"/>
      <w:bookmarkEnd w:id="216"/>
      <w:bookmarkStart w:id="217" w:name="_Toc530664115"/>
      <w:bookmarkEnd w:id="217"/>
      <w:bookmarkStart w:id="218" w:name="_Toc530665462"/>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认为磋商文件、磋商过程使自己的权益受到损害的，可以在知道或者应知其权益受到损害之日起七个工作日内，以书面形式向</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提出质疑。</w:t>
      </w:r>
      <w:bookmarkEnd w:id="218"/>
    </w:p>
    <w:p w14:paraId="30DBCDC0">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219" w:name="_Toc455678157"/>
      <w:bookmarkEnd w:id="219"/>
      <w:bookmarkStart w:id="220" w:name="_Toc531936153"/>
      <w:bookmarkEnd w:id="220"/>
      <w:bookmarkStart w:id="221" w:name="_Toc511897574"/>
      <w:bookmarkEnd w:id="221"/>
      <w:bookmarkStart w:id="222" w:name="_Toc530663961"/>
      <w:bookmarkEnd w:id="222"/>
      <w:bookmarkStart w:id="223" w:name="_Toc511663257"/>
      <w:bookmarkEnd w:id="223"/>
      <w:bookmarkStart w:id="224" w:name="_Toc530664117"/>
      <w:bookmarkEnd w:id="224"/>
      <w:bookmarkStart w:id="225" w:name="_Toc530665464"/>
      <w:bookmarkEnd w:id="225"/>
      <w:bookmarkStart w:id="226" w:name="_Toc463011523"/>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应当在收到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的书面质疑后七个工作日内作出答复，并以书面形式通知质疑</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和其他有关</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，但答复的内容不得涉及商业秘密。</w:t>
      </w:r>
      <w:bookmarkEnd w:id="226"/>
    </w:p>
    <w:p w14:paraId="613C1A33">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227" w:name="_Toc511663258"/>
      <w:bookmarkEnd w:id="227"/>
      <w:bookmarkStart w:id="228" w:name="_Toc463011524"/>
      <w:bookmarkEnd w:id="228"/>
      <w:bookmarkStart w:id="229" w:name="_Toc530663962"/>
      <w:bookmarkEnd w:id="229"/>
      <w:bookmarkStart w:id="230" w:name="_Toc531936154"/>
      <w:bookmarkEnd w:id="230"/>
      <w:bookmarkStart w:id="231" w:name="_Toc530665465"/>
      <w:bookmarkEnd w:id="231"/>
      <w:bookmarkStart w:id="232" w:name="_Toc530664118"/>
      <w:bookmarkEnd w:id="232"/>
      <w:bookmarkStart w:id="233" w:name="_Toc511897575"/>
      <w:bookmarkEnd w:id="233"/>
      <w:bookmarkStart w:id="234" w:name="_Toc455678158"/>
      <w:r>
        <w:rPr>
          <w:rFonts w:hint="eastAsia" w:ascii="宋体" w:hAnsi="宋体" w:eastAsia="宋体" w:cs="宋体"/>
          <w:color w:val="auto"/>
          <w:sz w:val="24"/>
          <w:szCs w:val="24"/>
          <w:highlight w:val="none"/>
        </w:rPr>
        <w:t>（5）质疑</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的答复不满意或者</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未在规定的时间内作出答复的，可以在答复期满后十五个工作日内向同级政府招标监督管理部门投诉。</w:t>
      </w:r>
      <w:bookmarkEnd w:id="234"/>
    </w:p>
    <w:p w14:paraId="65C8CFB1">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235" w:name="_Toc530665466"/>
      <w:bookmarkEnd w:id="235"/>
      <w:bookmarkStart w:id="236" w:name="_Toc455678159"/>
      <w:bookmarkEnd w:id="236"/>
      <w:bookmarkStart w:id="237" w:name="_Toc463011525"/>
      <w:bookmarkEnd w:id="237"/>
      <w:bookmarkStart w:id="238" w:name="_Toc530664119"/>
      <w:bookmarkEnd w:id="238"/>
      <w:bookmarkStart w:id="239" w:name="_Toc531936155"/>
      <w:bookmarkEnd w:id="239"/>
      <w:bookmarkStart w:id="240" w:name="_Toc511897576"/>
      <w:bookmarkEnd w:id="240"/>
      <w:bookmarkStart w:id="241" w:name="_Toc511663259"/>
      <w:bookmarkEnd w:id="241"/>
      <w:bookmarkStart w:id="242" w:name="_Toc530663963"/>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质疑、投诉应当有明确的请求和必要的证明材料。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投诉的事项不得超出已质疑事项的范围。</w:t>
      </w:r>
      <w:bookmarkEnd w:id="242"/>
    </w:p>
    <w:p w14:paraId="4C3100B5">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243" w:name="_Toc531936156"/>
      <w:bookmarkEnd w:id="243"/>
      <w:bookmarkStart w:id="244" w:name="_Toc530663964"/>
      <w:bookmarkEnd w:id="244"/>
      <w:bookmarkStart w:id="245" w:name="_Toc530665467"/>
      <w:bookmarkEnd w:id="245"/>
      <w:bookmarkStart w:id="246" w:name="_Toc530664120"/>
      <w:r>
        <w:rPr>
          <w:rFonts w:hint="eastAsia" w:ascii="宋体" w:hAnsi="宋体" w:eastAsia="宋体" w:cs="宋体"/>
          <w:color w:val="auto"/>
          <w:sz w:val="24"/>
          <w:szCs w:val="24"/>
          <w:highlight w:val="none"/>
        </w:rPr>
        <w:t>18、需要补充的其他内容</w:t>
      </w:r>
      <w:bookmarkEnd w:id="246"/>
    </w:p>
    <w:p w14:paraId="7076D251">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14:paraId="653F2F8F">
      <w:pPr>
        <w:keepNext/>
        <w:keepLines/>
        <w:pageBreakBefore w:val="0"/>
        <w:widowControl w:val="0"/>
        <w:numPr>
          <w:ilvl w:val="0"/>
          <w:numId w:val="0"/>
        </w:numPr>
        <w:kinsoku/>
        <w:wordWrap/>
        <w:overflowPunct/>
        <w:topLinePunct w:val="0"/>
        <w:autoSpaceDE/>
        <w:autoSpaceDN/>
        <w:bidi w:val="0"/>
        <w:adjustRightInd/>
        <w:snapToGrid/>
        <w:spacing w:line="720" w:lineRule="auto"/>
        <w:jc w:val="both"/>
        <w:textAlignment w:val="auto"/>
        <w:outlineLvl w:val="0"/>
        <w:rPr>
          <w:rFonts w:hint="eastAsia" w:asciiTheme="minorHAnsi" w:hAnsiTheme="minorHAnsi" w:eastAsiaTheme="minorEastAsia" w:cstheme="minorBidi"/>
          <w:b/>
          <w:bCs/>
          <w:kern w:val="2"/>
          <w:sz w:val="36"/>
          <w:szCs w:val="40"/>
          <w:highlight w:val="none"/>
          <w:lang w:val="en-US" w:eastAsia="zh-CN" w:bidi="ar-SA"/>
        </w:rPr>
      </w:pPr>
      <w:bookmarkStart w:id="247" w:name="_Toc29270"/>
    </w:p>
    <w:p w14:paraId="2286545C">
      <w:pPr>
        <w:keepNext/>
        <w:keepLines/>
        <w:pageBreakBefore w:val="0"/>
        <w:widowControl w:val="0"/>
        <w:numPr>
          <w:ilvl w:val="0"/>
          <w:numId w:val="0"/>
        </w:numPr>
        <w:kinsoku/>
        <w:wordWrap/>
        <w:overflowPunct/>
        <w:topLinePunct w:val="0"/>
        <w:autoSpaceDE/>
        <w:autoSpaceDN/>
        <w:bidi w:val="0"/>
        <w:adjustRightInd/>
        <w:snapToGrid/>
        <w:spacing w:line="720" w:lineRule="auto"/>
        <w:jc w:val="both"/>
        <w:textAlignment w:val="auto"/>
        <w:outlineLvl w:val="0"/>
        <w:rPr>
          <w:rFonts w:hint="eastAsia" w:asciiTheme="minorHAnsi" w:hAnsiTheme="minorHAnsi" w:eastAsiaTheme="minorEastAsia" w:cstheme="minorBidi"/>
          <w:b/>
          <w:bCs/>
          <w:kern w:val="2"/>
          <w:sz w:val="36"/>
          <w:szCs w:val="40"/>
          <w:highlight w:val="none"/>
          <w:lang w:val="en-US" w:eastAsia="zh-CN" w:bidi="ar-SA"/>
        </w:rPr>
      </w:pPr>
    </w:p>
    <w:p w14:paraId="4C705620">
      <w:pPr>
        <w:pStyle w:val="21"/>
        <w:rPr>
          <w:rFonts w:hint="eastAsia" w:asciiTheme="minorHAnsi" w:hAnsiTheme="minorHAnsi" w:eastAsiaTheme="minorEastAsia" w:cstheme="minorBidi"/>
          <w:b/>
          <w:bCs/>
          <w:kern w:val="2"/>
          <w:sz w:val="36"/>
          <w:szCs w:val="40"/>
          <w:highlight w:val="none"/>
          <w:lang w:val="en-US" w:eastAsia="zh-CN" w:bidi="ar-SA"/>
        </w:rPr>
      </w:pPr>
    </w:p>
    <w:p w14:paraId="100391E2">
      <w:pPr>
        <w:pStyle w:val="21"/>
        <w:rPr>
          <w:rFonts w:hint="eastAsia" w:asciiTheme="minorHAnsi" w:hAnsiTheme="minorHAnsi" w:eastAsiaTheme="minorEastAsia" w:cstheme="minorBidi"/>
          <w:b/>
          <w:bCs/>
          <w:kern w:val="2"/>
          <w:sz w:val="36"/>
          <w:szCs w:val="40"/>
          <w:highlight w:val="none"/>
          <w:lang w:val="en-US" w:eastAsia="zh-CN" w:bidi="ar-SA"/>
        </w:rPr>
      </w:pPr>
    </w:p>
    <w:p w14:paraId="2D597979">
      <w:pPr>
        <w:pStyle w:val="21"/>
        <w:rPr>
          <w:rFonts w:hint="eastAsia" w:asciiTheme="minorHAnsi" w:hAnsiTheme="minorHAnsi" w:eastAsiaTheme="minorEastAsia" w:cstheme="minorBidi"/>
          <w:b/>
          <w:bCs/>
          <w:kern w:val="2"/>
          <w:sz w:val="36"/>
          <w:szCs w:val="40"/>
          <w:highlight w:val="none"/>
          <w:lang w:val="en-US" w:eastAsia="zh-CN" w:bidi="ar-SA"/>
        </w:rPr>
      </w:pPr>
    </w:p>
    <w:p w14:paraId="2DAEBC82">
      <w:pPr>
        <w:pStyle w:val="21"/>
        <w:rPr>
          <w:rFonts w:hint="eastAsia" w:asciiTheme="minorHAnsi" w:hAnsiTheme="minorHAnsi" w:eastAsiaTheme="minorEastAsia" w:cstheme="minorBidi"/>
          <w:b/>
          <w:bCs/>
          <w:kern w:val="2"/>
          <w:sz w:val="36"/>
          <w:szCs w:val="40"/>
          <w:highlight w:val="none"/>
          <w:lang w:val="en-US" w:eastAsia="zh-CN" w:bidi="ar-SA"/>
        </w:rPr>
      </w:pPr>
    </w:p>
    <w:p w14:paraId="7485F28E">
      <w:pPr>
        <w:pStyle w:val="21"/>
        <w:rPr>
          <w:rFonts w:hint="eastAsia" w:asciiTheme="minorHAnsi" w:hAnsiTheme="minorHAnsi" w:eastAsiaTheme="minorEastAsia" w:cstheme="minorBidi"/>
          <w:b/>
          <w:bCs/>
          <w:kern w:val="2"/>
          <w:sz w:val="36"/>
          <w:szCs w:val="40"/>
          <w:highlight w:val="none"/>
          <w:lang w:val="en-US" w:eastAsia="zh-CN" w:bidi="ar-SA"/>
        </w:rPr>
      </w:pPr>
    </w:p>
    <w:p w14:paraId="0C367D03">
      <w:pPr>
        <w:keepNext/>
        <w:keepLines/>
        <w:pageBreakBefore w:val="0"/>
        <w:widowControl w:val="0"/>
        <w:numPr>
          <w:ilvl w:val="0"/>
          <w:numId w:val="0"/>
        </w:numPr>
        <w:kinsoku/>
        <w:wordWrap/>
        <w:overflowPunct/>
        <w:topLinePunct w:val="0"/>
        <w:autoSpaceDE/>
        <w:autoSpaceDN/>
        <w:bidi w:val="0"/>
        <w:adjustRightInd/>
        <w:snapToGrid/>
        <w:spacing w:line="720" w:lineRule="auto"/>
        <w:jc w:val="center"/>
        <w:textAlignment w:val="auto"/>
        <w:outlineLvl w:val="0"/>
        <w:rPr>
          <w:rFonts w:hint="eastAsia"/>
          <w:b/>
          <w:bCs/>
          <w:sz w:val="36"/>
          <w:szCs w:val="40"/>
          <w:highlight w:val="none"/>
          <w:lang w:val="en-US" w:eastAsia="zh-CN"/>
        </w:rPr>
      </w:pPr>
      <w:r>
        <w:rPr>
          <w:rFonts w:hint="eastAsia" w:asciiTheme="minorHAnsi" w:hAnsiTheme="minorHAnsi" w:eastAsiaTheme="minorEastAsia" w:cstheme="minorBidi"/>
          <w:b/>
          <w:bCs/>
          <w:kern w:val="2"/>
          <w:sz w:val="36"/>
          <w:szCs w:val="40"/>
          <w:highlight w:val="none"/>
          <w:lang w:val="en-US" w:eastAsia="zh-CN" w:bidi="ar-SA"/>
        </w:rPr>
        <w:t>第三章</w:t>
      </w:r>
      <w:r>
        <w:rPr>
          <w:rFonts w:hint="eastAsia" w:cstheme="minorBidi"/>
          <w:b/>
          <w:bCs/>
          <w:kern w:val="2"/>
          <w:sz w:val="36"/>
          <w:szCs w:val="40"/>
          <w:highlight w:val="none"/>
          <w:lang w:val="en-US" w:eastAsia="zh-CN" w:bidi="ar-SA"/>
        </w:rPr>
        <w:t xml:space="preserve"> </w:t>
      </w:r>
      <w:r>
        <w:rPr>
          <w:rFonts w:hint="eastAsia"/>
          <w:b/>
          <w:bCs/>
          <w:sz w:val="36"/>
          <w:szCs w:val="40"/>
          <w:highlight w:val="none"/>
          <w:lang w:val="en-US" w:eastAsia="zh-CN"/>
        </w:rPr>
        <w:t>招标控制价编制说明</w:t>
      </w:r>
      <w:bookmarkEnd w:id="247"/>
    </w:p>
    <w:p w14:paraId="1B37BCE5">
      <w:pPr>
        <w:pageBreakBefore w:val="0"/>
        <w:kinsoku/>
        <w:overflowPunct/>
        <w:topLinePunct w:val="0"/>
        <w:bidi w:val="0"/>
        <w:spacing w:line="360" w:lineRule="auto"/>
        <w:contextualSpacing/>
        <w:jc w:val="center"/>
        <w:outlineLvl w:val="9"/>
        <w:rPr>
          <w:rFonts w:hint="eastAsia" w:ascii="宋体" w:hAnsi="宋体" w:eastAsia="宋体" w:cs="宋体"/>
          <w:sz w:val="24"/>
          <w:szCs w:val="24"/>
          <w:highlight w:val="none"/>
        </w:rPr>
      </w:pPr>
      <w:r>
        <w:rPr>
          <w:rFonts w:hint="eastAsia"/>
          <w:b/>
          <w:bCs/>
          <w:color w:val="0000FF"/>
          <w:sz w:val="28"/>
          <w:szCs w:val="32"/>
          <w:highlight w:val="none"/>
          <w:lang w:val="en-US" w:eastAsia="zh-CN"/>
        </w:rPr>
        <w:t>（该部分为三标段项目内容，仅参与一标段、二标段的供应商请忽略）</w:t>
      </w:r>
    </w:p>
    <w:p w14:paraId="016B25A1">
      <w:pPr>
        <w:rPr>
          <w:rFonts w:ascii="宋体" w:hAnsi="宋体" w:eastAsia="宋体"/>
          <w:sz w:val="28"/>
          <w:szCs w:val="28"/>
          <w:highlight w:val="none"/>
        </w:rPr>
      </w:pPr>
      <w:r>
        <w:rPr>
          <w:rFonts w:hint="eastAsia" w:ascii="宋体" w:hAnsi="宋体" w:eastAsia="宋体"/>
          <w:sz w:val="28"/>
          <w:szCs w:val="28"/>
          <w:highlight w:val="none"/>
        </w:rPr>
        <w:t>一、编制依据</w:t>
      </w:r>
      <w:r>
        <w:rPr>
          <w:rFonts w:ascii="宋体" w:hAnsi="宋体" w:eastAsia="宋体"/>
          <w:sz w:val="28"/>
          <w:szCs w:val="28"/>
          <w:highlight w:val="none"/>
        </w:rPr>
        <w:t xml:space="preserve">: </w:t>
      </w:r>
    </w:p>
    <w:p w14:paraId="5322E4FF">
      <w:pPr>
        <w:rPr>
          <w:rFonts w:ascii="宋体" w:hAnsi="宋体" w:eastAsia="宋体"/>
          <w:sz w:val="28"/>
          <w:szCs w:val="28"/>
          <w:highlight w:val="none"/>
        </w:rPr>
      </w:pPr>
      <w:r>
        <w:rPr>
          <w:rFonts w:ascii="宋体" w:hAnsi="宋体" w:eastAsia="宋体"/>
          <w:sz w:val="28"/>
          <w:szCs w:val="28"/>
          <w:highlight w:val="none"/>
        </w:rPr>
        <w:t>1、依据《建设工程工程量清单计价规范》[GB50500-2013]及相关规范，参照《河南省房屋建筑与装饰工程预算定额(HA01-31-2016)》、《河南省市政工程预算定额(HAA1-31-2016)》、《</w:t>
      </w:r>
      <w:r>
        <w:rPr>
          <w:rFonts w:hint="eastAsia" w:ascii="宋体" w:hAnsi="宋体" w:eastAsia="宋体"/>
          <w:sz w:val="28"/>
          <w:szCs w:val="28"/>
          <w:highlight w:val="none"/>
        </w:rPr>
        <w:t>河南</w:t>
      </w:r>
      <w:r>
        <w:rPr>
          <w:rFonts w:ascii="宋体" w:hAnsi="宋体" w:eastAsia="宋体"/>
          <w:sz w:val="28"/>
          <w:szCs w:val="28"/>
          <w:highlight w:val="none"/>
        </w:rPr>
        <w:t>园林绿化工程</w:t>
      </w:r>
      <w:r>
        <w:rPr>
          <w:rFonts w:hint="eastAsia" w:ascii="宋体" w:hAnsi="宋体" w:eastAsia="宋体"/>
          <w:sz w:val="28"/>
          <w:szCs w:val="28"/>
          <w:highlight w:val="none"/>
        </w:rPr>
        <w:t>工程量清单综合单价（2008）</w:t>
      </w:r>
      <w:r>
        <w:rPr>
          <w:rFonts w:ascii="宋体" w:hAnsi="宋体" w:eastAsia="宋体"/>
          <w:sz w:val="28"/>
          <w:szCs w:val="28"/>
          <w:highlight w:val="none"/>
        </w:rPr>
        <w:t xml:space="preserve">》及相关配套文件; </w:t>
      </w:r>
    </w:p>
    <w:p w14:paraId="3805299C">
      <w:pPr>
        <w:rPr>
          <w:rFonts w:ascii="宋体" w:hAnsi="宋体" w:eastAsia="宋体"/>
          <w:sz w:val="28"/>
          <w:szCs w:val="28"/>
          <w:highlight w:val="none"/>
        </w:rPr>
      </w:pPr>
      <w:r>
        <w:rPr>
          <w:rFonts w:ascii="宋体" w:hAnsi="宋体" w:eastAsia="宋体"/>
          <w:sz w:val="28"/>
          <w:szCs w:val="28"/>
          <w:highlight w:val="none"/>
        </w:rPr>
        <w:t>2、材料价格参考《三门峡工程标准造价信息》202</w:t>
      </w:r>
      <w:r>
        <w:rPr>
          <w:rFonts w:hint="eastAsia" w:ascii="宋体" w:hAnsi="宋体" w:eastAsia="宋体"/>
          <w:sz w:val="28"/>
          <w:szCs w:val="28"/>
          <w:highlight w:val="none"/>
        </w:rPr>
        <w:t>5</w:t>
      </w:r>
      <w:r>
        <w:rPr>
          <w:rFonts w:ascii="宋体" w:hAnsi="宋体" w:eastAsia="宋体"/>
          <w:sz w:val="28"/>
          <w:szCs w:val="28"/>
          <w:highlight w:val="none"/>
        </w:rPr>
        <w:t>年第2期</w:t>
      </w:r>
      <w:r>
        <w:rPr>
          <w:rFonts w:hint="eastAsia" w:ascii="宋体" w:hAnsi="宋体" w:eastAsia="宋体"/>
          <w:sz w:val="28"/>
          <w:szCs w:val="28"/>
          <w:highlight w:val="none"/>
        </w:rPr>
        <w:t>湖滨区价格</w:t>
      </w:r>
      <w:r>
        <w:rPr>
          <w:rFonts w:ascii="宋体" w:hAnsi="宋体" w:eastAsia="宋体"/>
          <w:sz w:val="28"/>
          <w:szCs w:val="28"/>
          <w:highlight w:val="none"/>
        </w:rPr>
        <w:t>，</w:t>
      </w:r>
      <w:r>
        <w:rPr>
          <w:rFonts w:hint="eastAsia" w:ascii="宋体" w:hAnsi="宋体" w:eastAsia="宋体"/>
          <w:sz w:val="28"/>
          <w:szCs w:val="28"/>
          <w:highlight w:val="none"/>
        </w:rPr>
        <w:t>湖滨区</w:t>
      </w:r>
      <w:r>
        <w:rPr>
          <w:rFonts w:ascii="宋体" w:hAnsi="宋体" w:eastAsia="宋体"/>
          <w:sz w:val="28"/>
          <w:szCs w:val="28"/>
          <w:highlight w:val="none"/>
        </w:rPr>
        <w:t>没有的参照</w:t>
      </w:r>
      <w:r>
        <w:rPr>
          <w:rFonts w:hint="eastAsia" w:ascii="宋体" w:hAnsi="宋体" w:eastAsia="宋体"/>
          <w:sz w:val="28"/>
          <w:szCs w:val="28"/>
          <w:highlight w:val="none"/>
        </w:rPr>
        <w:t>三门峡市</w:t>
      </w:r>
      <w:r>
        <w:rPr>
          <w:rFonts w:ascii="宋体" w:hAnsi="宋体" w:eastAsia="宋体"/>
          <w:sz w:val="28"/>
          <w:szCs w:val="28"/>
          <w:highlight w:val="none"/>
        </w:rPr>
        <w:t xml:space="preserve">材料价格，并结合市场实际价格计算; </w:t>
      </w:r>
    </w:p>
    <w:p w14:paraId="240AEF16">
      <w:pPr>
        <w:rPr>
          <w:rFonts w:ascii="宋体" w:hAnsi="宋体" w:eastAsia="宋体"/>
          <w:sz w:val="28"/>
          <w:szCs w:val="28"/>
          <w:highlight w:val="none"/>
        </w:rPr>
      </w:pPr>
      <w:r>
        <w:rPr>
          <w:rFonts w:ascii="宋体" w:hAnsi="宋体" w:eastAsia="宋体"/>
          <w:sz w:val="28"/>
          <w:szCs w:val="28"/>
          <w:highlight w:val="none"/>
        </w:rPr>
        <w:t xml:space="preserve">3、安全文明施工措施费按规定费率足额计取: </w:t>
      </w:r>
    </w:p>
    <w:p w14:paraId="0BD747D3">
      <w:pPr>
        <w:rPr>
          <w:rFonts w:ascii="宋体" w:hAnsi="宋体" w:eastAsia="宋体"/>
          <w:sz w:val="28"/>
          <w:szCs w:val="28"/>
          <w:highlight w:val="none"/>
        </w:rPr>
      </w:pPr>
      <w:r>
        <w:rPr>
          <w:rFonts w:ascii="宋体" w:hAnsi="宋体" w:eastAsia="宋体"/>
          <w:sz w:val="28"/>
          <w:szCs w:val="28"/>
          <w:highlight w:val="none"/>
        </w:rPr>
        <w:t>4、规费按规定费率</w:t>
      </w:r>
      <w:r>
        <w:rPr>
          <w:rFonts w:hint="eastAsia" w:ascii="宋体" w:hAnsi="宋体" w:eastAsia="宋体"/>
          <w:sz w:val="28"/>
          <w:szCs w:val="28"/>
          <w:highlight w:val="none"/>
        </w:rPr>
        <w:t>足额</w:t>
      </w:r>
      <w:r>
        <w:rPr>
          <w:rFonts w:ascii="宋体" w:hAnsi="宋体" w:eastAsia="宋体"/>
          <w:sz w:val="28"/>
          <w:szCs w:val="28"/>
          <w:highlight w:val="none"/>
        </w:rPr>
        <w:t xml:space="preserve">计取: </w:t>
      </w:r>
    </w:p>
    <w:p w14:paraId="47BA5875">
      <w:pPr>
        <w:rPr>
          <w:rFonts w:ascii="宋体" w:hAnsi="宋体" w:eastAsia="宋体"/>
          <w:sz w:val="28"/>
          <w:szCs w:val="28"/>
          <w:highlight w:val="none"/>
        </w:rPr>
      </w:pPr>
      <w:r>
        <w:rPr>
          <w:rFonts w:ascii="宋体" w:hAnsi="宋体" w:eastAsia="宋体"/>
          <w:sz w:val="28"/>
          <w:szCs w:val="28"/>
          <w:highlight w:val="none"/>
        </w:rPr>
        <w:t xml:space="preserve">5、税金按规定费率9%计取; </w:t>
      </w:r>
    </w:p>
    <w:p w14:paraId="6158E598">
      <w:pPr>
        <w:pStyle w:val="21"/>
        <w:rPr>
          <w:rFonts w:hint="eastAsia"/>
          <w:highlight w:val="none"/>
        </w:rPr>
      </w:pPr>
    </w:p>
    <w:p w14:paraId="35F4BE20">
      <w:pPr>
        <w:pStyle w:val="21"/>
        <w:rPr>
          <w:rFonts w:hint="eastAsia"/>
          <w:highlight w:val="none"/>
        </w:rPr>
      </w:pPr>
    </w:p>
    <w:p w14:paraId="3ABD997D">
      <w:pPr>
        <w:pStyle w:val="21"/>
        <w:rPr>
          <w:rFonts w:hint="eastAsia"/>
          <w:highlight w:val="none"/>
        </w:rPr>
      </w:pPr>
    </w:p>
    <w:p w14:paraId="31E3AA70">
      <w:pPr>
        <w:pStyle w:val="21"/>
        <w:rPr>
          <w:rFonts w:hint="eastAsia"/>
          <w:highlight w:val="none"/>
        </w:rPr>
      </w:pPr>
    </w:p>
    <w:p w14:paraId="3A243089">
      <w:pPr>
        <w:pStyle w:val="21"/>
        <w:rPr>
          <w:rFonts w:hint="eastAsia"/>
          <w:highlight w:val="none"/>
        </w:rPr>
      </w:pPr>
    </w:p>
    <w:p w14:paraId="6BDDA3B1">
      <w:pPr>
        <w:pStyle w:val="21"/>
        <w:rPr>
          <w:rFonts w:hint="eastAsia"/>
          <w:highlight w:val="none"/>
        </w:rPr>
      </w:pPr>
    </w:p>
    <w:p w14:paraId="25055CC5">
      <w:pPr>
        <w:pStyle w:val="21"/>
        <w:rPr>
          <w:rFonts w:hint="eastAsia"/>
          <w:highlight w:val="none"/>
        </w:rPr>
      </w:pPr>
    </w:p>
    <w:p w14:paraId="1170632A">
      <w:pPr>
        <w:pStyle w:val="21"/>
        <w:rPr>
          <w:rFonts w:hint="eastAsia"/>
          <w:highlight w:val="none"/>
        </w:rPr>
      </w:pPr>
    </w:p>
    <w:p w14:paraId="7E515ED0">
      <w:pPr>
        <w:pStyle w:val="21"/>
        <w:rPr>
          <w:rFonts w:hint="eastAsia"/>
          <w:highlight w:val="none"/>
        </w:rPr>
      </w:pPr>
    </w:p>
    <w:p w14:paraId="03FAF17D">
      <w:pPr>
        <w:pStyle w:val="21"/>
        <w:rPr>
          <w:rFonts w:hint="eastAsia"/>
          <w:highlight w:val="none"/>
        </w:rPr>
      </w:pPr>
    </w:p>
    <w:p w14:paraId="751CF762">
      <w:pPr>
        <w:pStyle w:val="21"/>
        <w:rPr>
          <w:rFonts w:hint="eastAsia"/>
          <w:highlight w:val="none"/>
        </w:rPr>
      </w:pPr>
    </w:p>
    <w:p w14:paraId="28191D28">
      <w:pPr>
        <w:pStyle w:val="21"/>
        <w:rPr>
          <w:rFonts w:hint="eastAsia"/>
          <w:highlight w:val="none"/>
        </w:rPr>
      </w:pPr>
    </w:p>
    <w:p w14:paraId="4871A5A1">
      <w:pPr>
        <w:pStyle w:val="21"/>
        <w:rPr>
          <w:rFonts w:hint="eastAsia"/>
          <w:highlight w:val="none"/>
        </w:rPr>
      </w:pPr>
    </w:p>
    <w:p w14:paraId="4B9566A6">
      <w:pPr>
        <w:pStyle w:val="21"/>
        <w:rPr>
          <w:rFonts w:hint="eastAsia"/>
          <w:highlight w:val="none"/>
        </w:rPr>
      </w:pPr>
    </w:p>
    <w:p w14:paraId="71D9927C">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outlineLvl w:val="0"/>
        <w:rPr>
          <w:rFonts w:hint="eastAsia"/>
          <w:b/>
          <w:bCs/>
          <w:sz w:val="36"/>
          <w:szCs w:val="40"/>
          <w:highlight w:val="none"/>
          <w:lang w:val="en-US" w:eastAsia="zh-CN"/>
        </w:rPr>
      </w:pPr>
      <w:bookmarkStart w:id="248" w:name="_Toc1493"/>
      <w:bookmarkStart w:id="249" w:name="_Toc4150"/>
      <w:bookmarkStart w:id="250" w:name="_Toc9611"/>
      <w:r>
        <w:rPr>
          <w:rFonts w:hint="eastAsia"/>
          <w:b/>
          <w:bCs/>
          <w:sz w:val="36"/>
          <w:szCs w:val="40"/>
          <w:highlight w:val="none"/>
          <w:lang w:val="en-US" w:eastAsia="zh-CN"/>
        </w:rPr>
        <w:t>第四章  合同条款</w:t>
      </w:r>
      <w:bookmarkEnd w:id="248"/>
      <w:bookmarkEnd w:id="249"/>
      <w:bookmarkEnd w:id="250"/>
    </w:p>
    <w:p w14:paraId="4501B0C2">
      <w:pPr>
        <w:pageBreakBefore w:val="0"/>
        <w:kinsoku/>
        <w:overflowPunct/>
        <w:topLinePunct w:val="0"/>
        <w:bidi w:val="0"/>
        <w:ind w:firstLine="240" w:firstLineChars="100"/>
        <w:jc w:val="center"/>
        <w:outlineLvl w:val="9"/>
        <w:rPr>
          <w:rFonts w:ascii="宋体" w:hAnsi="宋体" w:cs="宋体"/>
          <w:bCs/>
          <w:sz w:val="24"/>
          <w:highlight w:val="none"/>
        </w:rPr>
      </w:pPr>
      <w:r>
        <w:rPr>
          <w:rFonts w:hint="eastAsia" w:ascii="宋体" w:hAnsi="宋体" w:cs="宋体"/>
          <w:bCs/>
          <w:sz w:val="24"/>
          <w:highlight w:val="none"/>
        </w:rPr>
        <w:t>（合同仅供参考，具体内容以实际签订为准）</w:t>
      </w:r>
    </w:p>
    <w:p w14:paraId="4F656F65">
      <w:pPr>
        <w:jc w:val="center"/>
        <w:rPr>
          <w:rFonts w:hint="eastAsia" w:ascii="宋体" w:hAnsi="宋体" w:eastAsia="宋体" w:cs="宋体"/>
          <w:color w:val="0000FF"/>
          <w:kern w:val="0"/>
          <w:sz w:val="32"/>
          <w:szCs w:val="32"/>
          <w:highlight w:val="none"/>
          <w:lang w:val="en-US" w:eastAsia="zh-CN"/>
        </w:rPr>
      </w:pPr>
      <w:bookmarkStart w:id="251" w:name="_Toc16964"/>
      <w:r>
        <w:rPr>
          <w:rFonts w:hint="eastAsia" w:ascii="宋体" w:hAnsi="宋体" w:eastAsia="宋体" w:cs="宋体"/>
          <w:color w:val="0000FF"/>
          <w:kern w:val="0"/>
          <w:sz w:val="32"/>
          <w:szCs w:val="32"/>
          <w:highlight w:val="none"/>
          <w:lang w:val="en-US" w:eastAsia="zh-CN"/>
        </w:rPr>
        <w:t>一标段、二标段</w:t>
      </w:r>
      <w:r>
        <w:rPr>
          <w:rFonts w:hint="eastAsia" w:ascii="宋体" w:hAnsi="宋体" w:eastAsia="宋体" w:cs="宋体"/>
          <w:bCs/>
          <w:color w:val="0000FF"/>
          <w:sz w:val="32"/>
          <w:szCs w:val="32"/>
          <w:highlight w:val="none"/>
          <w:lang w:val="en-US" w:eastAsia="zh-CN"/>
        </w:rPr>
        <w:t>合同模板</w:t>
      </w:r>
    </w:p>
    <w:p w14:paraId="563E8EFE">
      <w:pPr>
        <w:jc w:val="center"/>
        <w:rPr>
          <w:rFonts w:hint="eastAsia" w:ascii="宋体" w:hAnsi="宋体" w:eastAsia="宋体" w:cs="宋体"/>
          <w:b/>
          <w:bCs/>
          <w:sz w:val="36"/>
          <w:szCs w:val="36"/>
          <w:highlight w:val="none"/>
          <w:lang w:eastAsia="zh-CN"/>
        </w:rPr>
      </w:pPr>
      <w:r>
        <w:rPr>
          <w:rFonts w:hint="eastAsia" w:ascii="宋体" w:hAnsi="宋体" w:eastAsia="宋体" w:cs="宋体"/>
          <w:b/>
          <w:bCs/>
          <w:sz w:val="36"/>
          <w:szCs w:val="36"/>
          <w:highlight w:val="none"/>
          <w:lang w:eastAsia="zh-CN"/>
        </w:rPr>
        <w:t>文博城大剧院老旧设施设备维修改造项目</w:t>
      </w:r>
    </w:p>
    <w:p w14:paraId="6919DEB6">
      <w:pPr>
        <w:jc w:val="center"/>
        <w:rPr>
          <w:rFonts w:hint="eastAsia" w:ascii="宋体" w:hAnsi="宋体" w:eastAsia="宋体" w:cs="宋体"/>
          <w:b/>
          <w:bCs/>
          <w:color w:val="0000FF"/>
          <w:kern w:val="0"/>
          <w:sz w:val="28"/>
          <w:szCs w:val="28"/>
          <w:highlight w:val="none"/>
          <w:lang w:val="en-US" w:eastAsia="zh-CN"/>
        </w:rPr>
      </w:pPr>
      <w:r>
        <w:rPr>
          <w:rFonts w:hint="eastAsia" w:ascii="宋体" w:hAnsi="宋体" w:eastAsia="宋体" w:cs="宋体"/>
          <w:b/>
          <w:bCs/>
          <w:sz w:val="36"/>
          <w:szCs w:val="36"/>
          <w:highlight w:val="none"/>
          <w:lang w:eastAsia="zh-CN"/>
        </w:rPr>
        <w:t>采购项目合同</w:t>
      </w:r>
    </w:p>
    <w:p w14:paraId="57D0A7CC">
      <w:pPr>
        <w:snapToGrid w:val="0"/>
        <w:spacing w:line="450" w:lineRule="exact"/>
        <w:ind w:firstLine="482" w:firstLineChars="200"/>
        <w:jc w:val="center"/>
        <w:outlineLvl w:val="1"/>
        <w:rPr>
          <w:rFonts w:hint="eastAsia" w:ascii="宋体" w:hAnsi="宋体" w:eastAsia="宋体" w:cs="宋体"/>
          <w:color w:val="auto"/>
          <w:kern w:val="0"/>
          <w:sz w:val="24"/>
          <w:highlight w:val="none"/>
        </w:rPr>
      </w:pPr>
      <w:bookmarkStart w:id="252" w:name="_Toc24784"/>
      <w:bookmarkStart w:id="253" w:name="_Toc11430"/>
      <w:r>
        <w:rPr>
          <w:rFonts w:hint="eastAsia" w:ascii="宋体" w:hAnsi="宋体" w:eastAsia="宋体" w:cs="宋体"/>
          <w:b/>
          <w:bCs/>
          <w:color w:val="auto"/>
          <w:kern w:val="0"/>
          <w:sz w:val="24"/>
          <w:highlight w:val="none"/>
        </w:rPr>
        <w:t>（</w:t>
      </w:r>
      <w:r>
        <w:rPr>
          <w:rFonts w:hint="eastAsia" w:ascii="宋体" w:hAnsi="宋体" w:cs="宋体"/>
          <w:b/>
          <w:bCs/>
          <w:color w:val="auto"/>
          <w:kern w:val="0"/>
          <w:sz w:val="24"/>
          <w:highlight w:val="none"/>
          <w:lang w:eastAsia="zh-CN"/>
        </w:rPr>
        <w:t>签订合同时，双方</w:t>
      </w:r>
      <w:r>
        <w:rPr>
          <w:rFonts w:hint="eastAsia" w:ascii="宋体" w:hAnsi="宋体" w:eastAsia="宋体" w:cs="宋体"/>
          <w:b/>
          <w:bCs/>
          <w:color w:val="auto"/>
          <w:kern w:val="0"/>
          <w:sz w:val="24"/>
          <w:highlight w:val="none"/>
        </w:rPr>
        <w:t>可根据采购项目的实际情况增减条款和内容）</w:t>
      </w:r>
      <w:bookmarkEnd w:id="252"/>
      <w:bookmarkEnd w:id="253"/>
    </w:p>
    <w:p w14:paraId="0CB55361">
      <w:pPr>
        <w:spacing w:line="500" w:lineRule="exact"/>
        <w:rPr>
          <w:rFonts w:hint="default" w:ascii="宋体" w:hAnsi="宋体" w:eastAsia="宋体" w:cs="宋体"/>
          <w:b/>
          <w:color w:val="000000"/>
          <w:sz w:val="28"/>
          <w:szCs w:val="28"/>
          <w:highlight w:val="none"/>
          <w:lang w:val="en-US" w:eastAsia="zh-CN"/>
        </w:rPr>
      </w:pPr>
      <w:r>
        <w:rPr>
          <w:rFonts w:hint="eastAsia" w:ascii="宋体" w:hAnsi="宋体" w:eastAsia="宋体" w:cs="宋体"/>
          <w:b/>
          <w:color w:val="000000"/>
          <w:sz w:val="28"/>
          <w:szCs w:val="28"/>
          <w:highlight w:val="none"/>
        </w:rPr>
        <w:t>甲方：</w:t>
      </w:r>
      <w:r>
        <w:rPr>
          <w:rFonts w:hint="eastAsia" w:ascii="宋体" w:hAnsi="宋体" w:eastAsia="宋体" w:cs="宋体"/>
          <w:b/>
          <w:color w:val="000000"/>
          <w:sz w:val="28"/>
          <w:szCs w:val="28"/>
          <w:highlight w:val="none"/>
          <w:u w:val="single"/>
          <w:lang w:val="en-US" w:eastAsia="zh-CN"/>
        </w:rPr>
        <w:t xml:space="preserve">                 </w:t>
      </w:r>
      <w:r>
        <w:rPr>
          <w:rFonts w:hint="eastAsia" w:ascii="宋体" w:hAnsi="宋体" w:eastAsia="宋体" w:cs="宋体"/>
          <w:b/>
          <w:color w:val="000000"/>
          <w:sz w:val="28"/>
          <w:szCs w:val="28"/>
          <w:highlight w:val="none"/>
          <w:u w:val="none"/>
          <w:lang w:val="en-US" w:eastAsia="zh-CN"/>
        </w:rPr>
        <w:t xml:space="preserve">（采购人） </w:t>
      </w:r>
    </w:p>
    <w:p w14:paraId="62293E04">
      <w:pPr>
        <w:spacing w:line="500" w:lineRule="exact"/>
        <w:rPr>
          <w:rFonts w:hint="default" w:ascii="宋体" w:hAnsi="宋体" w:eastAsia="宋体" w:cs="宋体"/>
          <w:b/>
          <w:color w:val="000000"/>
          <w:sz w:val="28"/>
          <w:szCs w:val="28"/>
          <w:highlight w:val="none"/>
          <w:u w:val="single"/>
          <w:lang w:val="en-US" w:eastAsia="zh-CN"/>
        </w:rPr>
      </w:pPr>
      <w:r>
        <w:rPr>
          <w:rFonts w:hint="eastAsia" w:ascii="宋体" w:hAnsi="宋体" w:eastAsia="宋体" w:cs="宋体"/>
          <w:b/>
          <w:color w:val="000000"/>
          <w:sz w:val="28"/>
          <w:szCs w:val="28"/>
          <w:highlight w:val="none"/>
        </w:rPr>
        <w:t>乙方:</w:t>
      </w:r>
      <w:r>
        <w:rPr>
          <w:rFonts w:hint="eastAsia" w:ascii="宋体" w:hAnsi="宋体" w:eastAsia="宋体" w:cs="宋体"/>
          <w:b/>
          <w:highlight w:val="none"/>
        </w:rPr>
        <w:t xml:space="preserve"> </w:t>
      </w:r>
      <w:r>
        <w:rPr>
          <w:rFonts w:hint="eastAsia" w:ascii="宋体" w:hAnsi="宋体" w:eastAsia="宋体" w:cs="宋体"/>
          <w:b/>
          <w:highlight w:val="none"/>
          <w:lang w:val="en-US" w:eastAsia="zh-CN"/>
        </w:rPr>
        <w:t xml:space="preserve"> </w:t>
      </w:r>
      <w:r>
        <w:rPr>
          <w:rFonts w:hint="eastAsia" w:ascii="宋体" w:hAnsi="宋体" w:eastAsia="宋体" w:cs="宋体"/>
          <w:b/>
          <w:highlight w:val="none"/>
          <w:u w:val="single"/>
          <w:lang w:val="en-US" w:eastAsia="zh-CN"/>
        </w:rPr>
        <w:t xml:space="preserve">                      </w:t>
      </w:r>
      <w:r>
        <w:rPr>
          <w:rFonts w:hint="eastAsia" w:ascii="宋体" w:hAnsi="宋体" w:eastAsia="宋体" w:cs="宋体"/>
          <w:b/>
          <w:color w:val="000000"/>
          <w:sz w:val="28"/>
          <w:szCs w:val="28"/>
          <w:highlight w:val="none"/>
          <w:u w:val="none"/>
          <w:lang w:val="en-US" w:eastAsia="zh-CN"/>
        </w:rPr>
        <w:t>（供应商）</w:t>
      </w:r>
    </w:p>
    <w:p w14:paraId="29310AA4">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经</w:t>
      </w:r>
      <w:r>
        <w:rPr>
          <w:rFonts w:hint="eastAsia" w:ascii="宋体" w:hAnsi="宋体" w:eastAsia="宋体" w:cs="Times New Roman"/>
          <w:sz w:val="24"/>
          <w:szCs w:val="24"/>
          <w:highlight w:val="none"/>
          <w:lang w:eastAsia="zh-CN"/>
        </w:rPr>
        <w:t>竞争性磋商</w:t>
      </w:r>
      <w:r>
        <w:rPr>
          <w:rFonts w:hint="eastAsia" w:ascii="宋体" w:hAnsi="宋体" w:eastAsia="宋体" w:cs="Times New Roman"/>
          <w:sz w:val="24"/>
          <w:szCs w:val="24"/>
          <w:highlight w:val="none"/>
        </w:rPr>
        <w:t>，依据《中华人民共和国民法典》</w:t>
      </w:r>
      <w:r>
        <w:rPr>
          <w:rFonts w:hint="eastAsia" w:ascii="宋体" w:hAnsi="宋体" w:cs="Times New Roman"/>
          <w:sz w:val="24"/>
          <w:szCs w:val="24"/>
          <w:highlight w:val="none"/>
          <w:lang w:eastAsia="zh-CN"/>
        </w:rPr>
        <w:t>等</w:t>
      </w:r>
      <w:r>
        <w:rPr>
          <w:rFonts w:hint="eastAsia" w:ascii="宋体" w:hAnsi="宋体" w:eastAsia="宋体" w:cs="Times New Roman"/>
          <w:sz w:val="24"/>
          <w:szCs w:val="24"/>
          <w:highlight w:val="none"/>
        </w:rPr>
        <w:t>相关法律法规规定，确定乙方为</w:t>
      </w:r>
      <w:r>
        <w:rPr>
          <w:rFonts w:hint="eastAsia" w:ascii="宋体" w:hAnsi="宋体" w:eastAsia="宋体" w:cs="Times New Roman"/>
          <w:sz w:val="24"/>
          <w:szCs w:val="24"/>
          <w:highlight w:val="none"/>
          <w:lang w:eastAsia="zh-CN"/>
        </w:rPr>
        <w:t>供应商</w:t>
      </w:r>
      <w:r>
        <w:rPr>
          <w:rFonts w:hint="eastAsia" w:ascii="宋体" w:hAnsi="宋体" w:eastAsia="宋体" w:cs="Times New Roman"/>
          <w:sz w:val="24"/>
          <w:szCs w:val="24"/>
          <w:highlight w:val="none"/>
        </w:rPr>
        <w:t>，现依照相关法律法规及</w:t>
      </w:r>
      <w:r>
        <w:rPr>
          <w:rFonts w:hint="eastAsia" w:ascii="宋体" w:hAnsi="宋体" w:eastAsia="宋体" w:cs="Times New Roman"/>
          <w:sz w:val="24"/>
          <w:szCs w:val="24"/>
          <w:highlight w:val="none"/>
          <w:lang w:eastAsia="zh-CN"/>
        </w:rPr>
        <w:t>磋商</w:t>
      </w:r>
      <w:r>
        <w:rPr>
          <w:rFonts w:hint="eastAsia" w:ascii="宋体" w:hAnsi="宋体" w:eastAsia="宋体" w:cs="Times New Roman"/>
          <w:sz w:val="24"/>
          <w:szCs w:val="24"/>
          <w:highlight w:val="none"/>
        </w:rPr>
        <w:t>文件内容，经双方协商一致，签订本合同。</w:t>
      </w:r>
    </w:p>
    <w:p w14:paraId="41E88E02">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第一条　1.货物的名称、产地、品牌规格、数量、配置及单价</w:t>
      </w:r>
    </w:p>
    <w:tbl>
      <w:tblPr>
        <w:tblStyle w:val="23"/>
        <w:tblW w:w="52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9"/>
        <w:gridCol w:w="1235"/>
        <w:gridCol w:w="1863"/>
        <w:gridCol w:w="1235"/>
        <w:gridCol w:w="1372"/>
        <w:gridCol w:w="1508"/>
      </w:tblGrid>
      <w:tr w14:paraId="2CBDD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2" w:hRule="atLeast"/>
          <w:jc w:val="center"/>
        </w:trPr>
        <w:tc>
          <w:tcPr>
            <w:tcW w:w="1176" w:type="pct"/>
            <w:noWrap w:val="0"/>
            <w:vAlign w:val="center"/>
          </w:tcPr>
          <w:p w14:paraId="593C8D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名  称</w:t>
            </w:r>
          </w:p>
        </w:tc>
        <w:tc>
          <w:tcPr>
            <w:tcW w:w="654" w:type="pct"/>
            <w:noWrap w:val="0"/>
            <w:vAlign w:val="center"/>
          </w:tcPr>
          <w:p w14:paraId="752376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品牌</w:t>
            </w:r>
          </w:p>
        </w:tc>
        <w:tc>
          <w:tcPr>
            <w:tcW w:w="987" w:type="pct"/>
            <w:noWrap w:val="0"/>
            <w:vAlign w:val="center"/>
          </w:tcPr>
          <w:p w14:paraId="4B5B75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规格型号</w:t>
            </w:r>
          </w:p>
        </w:tc>
        <w:tc>
          <w:tcPr>
            <w:tcW w:w="654" w:type="pct"/>
            <w:noWrap w:val="0"/>
            <w:vAlign w:val="center"/>
          </w:tcPr>
          <w:p w14:paraId="106FDF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数 量</w:t>
            </w:r>
          </w:p>
        </w:tc>
        <w:tc>
          <w:tcPr>
            <w:tcW w:w="727" w:type="pct"/>
            <w:noWrap w:val="0"/>
            <w:vAlign w:val="center"/>
          </w:tcPr>
          <w:p w14:paraId="6E98F4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sz w:val="24"/>
                <w:szCs w:val="24"/>
                <w:highlight w:val="none"/>
                <w:lang w:eastAsia="zh-CN"/>
              </w:rPr>
            </w:pPr>
            <w:r>
              <w:rPr>
                <w:rFonts w:hint="eastAsia" w:ascii="宋体" w:hAnsi="宋体" w:cs="Times New Roman"/>
                <w:sz w:val="24"/>
                <w:szCs w:val="24"/>
                <w:highlight w:val="none"/>
                <w:lang w:eastAsia="zh-CN"/>
              </w:rPr>
              <w:t>单位</w:t>
            </w:r>
          </w:p>
        </w:tc>
        <w:tc>
          <w:tcPr>
            <w:tcW w:w="799" w:type="pct"/>
            <w:noWrap w:val="0"/>
            <w:vAlign w:val="center"/>
          </w:tcPr>
          <w:p w14:paraId="5EE3A4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金额</w:t>
            </w:r>
          </w:p>
        </w:tc>
      </w:tr>
      <w:tr w14:paraId="2AF9B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76" w:type="pct"/>
            <w:noWrap w:val="0"/>
            <w:vAlign w:val="center"/>
          </w:tcPr>
          <w:p w14:paraId="3C227204">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p>
        </w:tc>
        <w:tc>
          <w:tcPr>
            <w:tcW w:w="654" w:type="pct"/>
            <w:noWrap w:val="0"/>
            <w:vAlign w:val="center"/>
          </w:tcPr>
          <w:p w14:paraId="22C460F7">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p>
        </w:tc>
        <w:tc>
          <w:tcPr>
            <w:tcW w:w="987" w:type="pct"/>
            <w:noWrap w:val="0"/>
            <w:vAlign w:val="center"/>
          </w:tcPr>
          <w:p w14:paraId="0882C3B6">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p>
        </w:tc>
        <w:tc>
          <w:tcPr>
            <w:tcW w:w="654" w:type="pct"/>
            <w:noWrap w:val="0"/>
            <w:vAlign w:val="center"/>
          </w:tcPr>
          <w:p w14:paraId="588441F4">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p>
        </w:tc>
        <w:tc>
          <w:tcPr>
            <w:tcW w:w="727" w:type="pct"/>
            <w:noWrap w:val="0"/>
            <w:vAlign w:val="center"/>
          </w:tcPr>
          <w:p w14:paraId="5F2239D3">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p>
        </w:tc>
        <w:tc>
          <w:tcPr>
            <w:tcW w:w="799" w:type="pct"/>
            <w:noWrap w:val="0"/>
            <w:vAlign w:val="center"/>
          </w:tcPr>
          <w:p w14:paraId="75BE1304">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p>
        </w:tc>
      </w:tr>
      <w:tr w14:paraId="00A92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76" w:type="pct"/>
            <w:noWrap w:val="0"/>
            <w:vAlign w:val="center"/>
          </w:tcPr>
          <w:p w14:paraId="08CCD2F3">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default" w:ascii="宋体" w:hAnsi="宋体" w:eastAsia="宋体" w:cs="Times New Roman"/>
                <w:sz w:val="24"/>
                <w:szCs w:val="24"/>
                <w:highlight w:val="none"/>
                <w:lang w:val="en-US" w:eastAsia="zh-CN"/>
              </w:rPr>
            </w:pPr>
            <w:r>
              <w:rPr>
                <w:rFonts w:hint="eastAsia" w:ascii="宋体" w:hAnsi="宋体" w:cs="Times New Roman"/>
                <w:sz w:val="24"/>
                <w:szCs w:val="24"/>
                <w:highlight w:val="none"/>
                <w:lang w:val="en-US" w:eastAsia="zh-CN"/>
              </w:rPr>
              <w:t>...</w:t>
            </w:r>
          </w:p>
        </w:tc>
        <w:tc>
          <w:tcPr>
            <w:tcW w:w="654" w:type="pct"/>
            <w:noWrap w:val="0"/>
            <w:vAlign w:val="center"/>
          </w:tcPr>
          <w:p w14:paraId="7211A107">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p>
        </w:tc>
        <w:tc>
          <w:tcPr>
            <w:tcW w:w="987" w:type="pct"/>
            <w:noWrap w:val="0"/>
            <w:vAlign w:val="center"/>
          </w:tcPr>
          <w:p w14:paraId="708DE939">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p>
        </w:tc>
        <w:tc>
          <w:tcPr>
            <w:tcW w:w="654" w:type="pct"/>
            <w:noWrap w:val="0"/>
            <w:vAlign w:val="center"/>
          </w:tcPr>
          <w:p w14:paraId="16874C1E">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p>
        </w:tc>
        <w:tc>
          <w:tcPr>
            <w:tcW w:w="727" w:type="pct"/>
            <w:noWrap w:val="0"/>
            <w:vAlign w:val="center"/>
          </w:tcPr>
          <w:p w14:paraId="6B22E647">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p>
        </w:tc>
        <w:tc>
          <w:tcPr>
            <w:tcW w:w="799" w:type="pct"/>
            <w:noWrap w:val="0"/>
            <w:vAlign w:val="center"/>
          </w:tcPr>
          <w:p w14:paraId="683CE0F2">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p>
        </w:tc>
      </w:tr>
      <w:tr w14:paraId="57415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176" w:type="pct"/>
            <w:noWrap w:val="0"/>
            <w:vAlign w:val="center"/>
          </w:tcPr>
          <w:p w14:paraId="5B3CBB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合计</w:t>
            </w:r>
          </w:p>
        </w:tc>
        <w:tc>
          <w:tcPr>
            <w:tcW w:w="3823" w:type="pct"/>
            <w:gridSpan w:val="5"/>
            <w:noWrap w:val="0"/>
            <w:vAlign w:val="center"/>
          </w:tcPr>
          <w:p w14:paraId="43EF485B">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大写：</w:t>
            </w:r>
            <w:r>
              <w:rPr>
                <w:rFonts w:hint="eastAsia" w:ascii="宋体" w:hAnsi="宋体" w:eastAsia="宋体" w:cs="Times New Roman"/>
                <w:sz w:val="24"/>
                <w:szCs w:val="24"/>
                <w:highlight w:val="none"/>
                <w:lang w:val="en-US" w:eastAsia="zh-CN"/>
              </w:rPr>
              <w:t xml:space="preserve">              </w:t>
            </w:r>
            <w:r>
              <w:rPr>
                <w:rFonts w:hint="eastAsia" w:ascii="宋体" w:hAnsi="宋体" w:eastAsia="宋体" w:cs="Times New Roman"/>
                <w:sz w:val="24"/>
                <w:szCs w:val="24"/>
                <w:highlight w:val="none"/>
              </w:rPr>
              <w:t xml:space="preserve">元整 </w:t>
            </w:r>
            <w:r>
              <w:rPr>
                <w:rFonts w:hint="eastAsia" w:ascii="宋体" w:hAnsi="宋体" w:eastAsia="宋体" w:cs="Times New Roman"/>
                <w:sz w:val="24"/>
                <w:szCs w:val="24"/>
                <w:highlight w:val="none"/>
                <w:lang w:val="en-US" w:eastAsia="zh-CN"/>
              </w:rPr>
              <w:t xml:space="preserve">  </w:t>
            </w:r>
            <w:r>
              <w:rPr>
                <w:rFonts w:hint="eastAsia" w:ascii="宋体" w:hAnsi="宋体" w:eastAsia="宋体" w:cs="Times New Roman"/>
                <w:sz w:val="24"/>
                <w:szCs w:val="24"/>
                <w:highlight w:val="none"/>
              </w:rPr>
              <w:t>小写（￥</w:t>
            </w:r>
            <w:r>
              <w:rPr>
                <w:rFonts w:hint="eastAsia" w:ascii="宋体" w:hAnsi="宋体" w:cs="Times New Roman"/>
                <w:sz w:val="24"/>
                <w:szCs w:val="24"/>
                <w:highlight w:val="none"/>
                <w:lang w:val="en-US" w:eastAsia="zh-CN"/>
              </w:rPr>
              <w:t xml:space="preserve">  </w:t>
            </w:r>
            <w:r>
              <w:rPr>
                <w:rFonts w:hint="eastAsia" w:ascii="宋体" w:hAnsi="宋体" w:eastAsia="宋体" w:cs="Times New Roman"/>
                <w:sz w:val="24"/>
                <w:szCs w:val="24"/>
                <w:highlight w:val="none"/>
              </w:rPr>
              <w:t>.00元）</w:t>
            </w:r>
          </w:p>
        </w:tc>
      </w:tr>
    </w:tbl>
    <w:p w14:paraId="4CFD3B25">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rPr>
        <w:t>以上金额包</w:t>
      </w:r>
      <w:r>
        <w:rPr>
          <w:rFonts w:hint="eastAsia" w:ascii="宋体" w:hAnsi="宋体" w:eastAsia="宋体" w:cs="Times New Roman"/>
          <w:sz w:val="24"/>
          <w:szCs w:val="24"/>
          <w:highlight w:val="none"/>
          <w:lang w:eastAsia="zh-CN"/>
        </w:rPr>
        <w:t>含</w:t>
      </w:r>
      <w:r>
        <w:rPr>
          <w:rFonts w:hint="eastAsia" w:ascii="宋体" w:hAnsi="宋体" w:eastAsia="宋体" w:cs="Times New Roman"/>
          <w:sz w:val="24"/>
          <w:szCs w:val="24"/>
          <w:highlight w:val="none"/>
        </w:rPr>
        <w:t>项目实施所需</w:t>
      </w:r>
      <w:r>
        <w:rPr>
          <w:rFonts w:hint="eastAsia" w:ascii="宋体" w:hAnsi="宋体" w:eastAsia="宋体" w:cs="Times New Roman"/>
          <w:sz w:val="24"/>
          <w:szCs w:val="24"/>
          <w:highlight w:val="none"/>
          <w:lang w:val="en-US" w:eastAsia="zh-CN"/>
        </w:rPr>
        <w:t>的全部内容内容。</w:t>
      </w:r>
    </w:p>
    <w:p w14:paraId="2898472F">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2.合同价格形式：</w:t>
      </w:r>
      <w:r>
        <w:rPr>
          <w:rFonts w:hint="eastAsia" w:ascii="宋体" w:hAnsi="宋体" w:eastAsia="宋体" w:cs="Times New Roman"/>
          <w:sz w:val="24"/>
          <w:szCs w:val="24"/>
          <w:highlight w:val="none"/>
          <w:u w:val="single"/>
          <w:lang w:val="en-US" w:eastAsia="zh-CN"/>
        </w:rPr>
        <w:t xml:space="preserve">    </w:t>
      </w:r>
      <w:r>
        <w:rPr>
          <w:rFonts w:hint="eastAsia" w:ascii="宋体" w:hAnsi="宋体" w:eastAsia="宋体" w:cs="Times New Roman"/>
          <w:b/>
          <w:bCs/>
          <w:sz w:val="24"/>
          <w:szCs w:val="24"/>
          <w:highlight w:val="none"/>
          <w:u w:val="single"/>
          <w:lang w:val="en-US" w:eastAsia="zh-CN"/>
        </w:rPr>
        <w:t>固定单价合同</w:t>
      </w:r>
      <w:r>
        <w:rPr>
          <w:rFonts w:hint="eastAsia" w:ascii="宋体" w:hAnsi="宋体" w:eastAsia="宋体" w:cs="Times New Roman"/>
          <w:sz w:val="24"/>
          <w:szCs w:val="24"/>
          <w:highlight w:val="none"/>
          <w:u w:val="single"/>
          <w:lang w:val="en-US" w:eastAsia="zh-CN"/>
        </w:rPr>
        <w:t xml:space="preserve">    </w:t>
      </w:r>
    </w:p>
    <w:p w14:paraId="549B0296">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第二条　产品的交货单位、交货时间、包装与运输、到货地点。</w:t>
      </w:r>
    </w:p>
    <w:p w14:paraId="3FBA05B4">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1．产品的交货地点：</w:t>
      </w:r>
      <w:r>
        <w:rPr>
          <w:rFonts w:hint="eastAsia" w:ascii="宋体" w:hAnsi="宋体" w:eastAsia="宋体" w:cs="Times New Roman"/>
          <w:sz w:val="24"/>
          <w:szCs w:val="24"/>
          <w:highlight w:val="none"/>
          <w:lang w:eastAsia="zh-CN"/>
        </w:rPr>
        <w:t>采购人指定地点</w:t>
      </w:r>
      <w:r>
        <w:rPr>
          <w:rFonts w:hint="eastAsia" w:ascii="宋体" w:hAnsi="宋体" w:eastAsia="宋体" w:cs="Times New Roman"/>
          <w:sz w:val="24"/>
          <w:szCs w:val="24"/>
          <w:highlight w:val="none"/>
        </w:rPr>
        <w:t xml:space="preserve">。 </w:t>
      </w:r>
    </w:p>
    <w:p w14:paraId="50F4810D">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rPr>
        <w:t>2．交货</w:t>
      </w:r>
      <w:r>
        <w:rPr>
          <w:rFonts w:hint="eastAsia" w:ascii="宋体" w:hAnsi="宋体" w:cs="Times New Roman"/>
          <w:sz w:val="24"/>
          <w:szCs w:val="24"/>
          <w:highlight w:val="none"/>
          <w:lang w:eastAsia="zh-CN"/>
        </w:rPr>
        <w:t>期</w:t>
      </w:r>
      <w:r>
        <w:rPr>
          <w:rFonts w:hint="eastAsia" w:ascii="宋体" w:hAnsi="宋体" w:eastAsia="宋体" w:cs="Times New Roman"/>
          <w:sz w:val="24"/>
          <w:szCs w:val="24"/>
          <w:highlight w:val="none"/>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日历天</w:t>
      </w:r>
    </w:p>
    <w:p w14:paraId="54430A0B">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3．质保期：</w:t>
      </w:r>
      <w:r>
        <w:rPr>
          <w:rFonts w:hint="eastAsia" w:ascii="宋体" w:hAnsi="宋体" w:cs="Times New Roman"/>
          <w:sz w:val="24"/>
          <w:szCs w:val="24"/>
          <w:highlight w:val="none"/>
          <w:lang w:eastAsia="zh-CN"/>
        </w:rPr>
        <w:t>质保期</w:t>
      </w:r>
      <w:r>
        <w:rPr>
          <w:rFonts w:hint="eastAsia" w:ascii="宋体" w:hAnsi="宋体" w:cs="Times New Roman"/>
          <w:sz w:val="24"/>
          <w:szCs w:val="24"/>
          <w:highlight w:val="none"/>
          <w:u w:val="single"/>
          <w:lang w:val="en-US" w:eastAsia="zh-CN"/>
        </w:rPr>
        <w:t xml:space="preserve"> 1  </w:t>
      </w:r>
      <w:r>
        <w:rPr>
          <w:rFonts w:hint="eastAsia" w:ascii="宋体" w:hAnsi="宋体" w:cs="Times New Roman"/>
          <w:sz w:val="24"/>
          <w:szCs w:val="24"/>
          <w:highlight w:val="none"/>
          <w:lang w:eastAsia="zh-CN"/>
        </w:rPr>
        <w:t>年，对有瑕疵或不能修复的货物负责免费更换</w:t>
      </w:r>
      <w:r>
        <w:rPr>
          <w:rFonts w:hint="eastAsia" w:ascii="宋体" w:hAnsi="宋体" w:eastAsia="宋体" w:cs="Times New Roman"/>
          <w:sz w:val="24"/>
          <w:szCs w:val="24"/>
          <w:highlight w:val="none"/>
        </w:rPr>
        <w:t>。</w:t>
      </w:r>
    </w:p>
    <w:p w14:paraId="21FF5EA1">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4. 包装与运输</w:t>
      </w:r>
    </w:p>
    <w:p w14:paraId="4B122B61">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4.1  除合同另有规定外，乙方供应的设备，均应按标准保护措施进行包装，须确保货物完好无损抵达指定现场，由于乙方包装不良及在运输过程中所造成的任何损失，由乙方负责。</w:t>
      </w:r>
    </w:p>
    <w:p w14:paraId="41A1BB0E">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4.2  每一包装箱内应附一份详细的装箱单和质量合格证书。</w:t>
      </w:r>
    </w:p>
    <w:p w14:paraId="0614C3F7">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4.3  乙方可选择合适的运输方式，并负责</w:t>
      </w:r>
      <w:r>
        <w:rPr>
          <w:rFonts w:hint="eastAsia" w:ascii="宋体" w:hAnsi="宋体" w:cs="Times New Roman"/>
          <w:sz w:val="24"/>
          <w:szCs w:val="24"/>
          <w:highlight w:val="none"/>
          <w:lang w:eastAsia="zh-CN"/>
        </w:rPr>
        <w:t>货物</w:t>
      </w:r>
      <w:r>
        <w:rPr>
          <w:rFonts w:hint="eastAsia" w:ascii="宋体" w:hAnsi="宋体" w:eastAsia="宋体" w:cs="Times New Roman"/>
          <w:sz w:val="24"/>
          <w:szCs w:val="24"/>
          <w:highlight w:val="none"/>
        </w:rPr>
        <w:t>的发运、保险、装卸以及货到后未验收前的保管工作。</w:t>
      </w:r>
    </w:p>
    <w:p w14:paraId="4C70DE33">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宋体"/>
          <w:bCs/>
          <w:color w:val="auto"/>
          <w:sz w:val="24"/>
          <w:highlight w:val="none"/>
          <w:lang w:val="en-US" w:eastAsia="zh-CN"/>
        </w:rPr>
      </w:pPr>
      <w:r>
        <w:rPr>
          <w:rFonts w:hint="eastAsia" w:ascii="宋体" w:hAnsi="宋体" w:eastAsia="宋体" w:cs="Times New Roman"/>
          <w:sz w:val="24"/>
          <w:szCs w:val="24"/>
          <w:highlight w:val="none"/>
        </w:rPr>
        <w:t xml:space="preserve">4.4  </w:t>
      </w:r>
      <w:r>
        <w:rPr>
          <w:rFonts w:hint="eastAsia" w:ascii="宋体" w:hAnsi="宋体" w:cs="Times New Roman"/>
          <w:sz w:val="24"/>
          <w:szCs w:val="24"/>
          <w:highlight w:val="none"/>
          <w:lang w:eastAsia="zh-CN"/>
        </w:rPr>
        <w:t>质量</w:t>
      </w:r>
      <w:r>
        <w:rPr>
          <w:rFonts w:hint="eastAsia" w:ascii="宋体" w:hAnsi="宋体" w:eastAsia="宋体" w:cs="Times New Roman"/>
          <w:sz w:val="24"/>
          <w:szCs w:val="24"/>
          <w:highlight w:val="none"/>
        </w:rPr>
        <w:t>要求</w:t>
      </w:r>
      <w:r>
        <w:rPr>
          <w:rFonts w:hint="eastAsia" w:ascii="宋体" w:hAnsi="宋体" w:cs="Times New Roman"/>
          <w:sz w:val="24"/>
          <w:szCs w:val="24"/>
          <w:highlight w:val="none"/>
          <w:lang w:eastAsia="zh-CN"/>
        </w:rPr>
        <w:t>：</w:t>
      </w:r>
      <w:r>
        <w:rPr>
          <w:rFonts w:hint="eastAsia" w:ascii="宋体" w:hAnsi="宋体" w:eastAsia="宋体"/>
          <w:color w:val="auto"/>
          <w:sz w:val="24"/>
          <w:szCs w:val="24"/>
          <w:highlight w:val="none"/>
          <w:lang w:val="en-US" w:eastAsia="zh-CN"/>
        </w:rPr>
        <w:t>合格，符合国家有关行业标准和相关法律法规规定</w:t>
      </w:r>
      <w:r>
        <w:rPr>
          <w:rFonts w:hint="eastAsia" w:ascii="宋体" w:hAnsi="宋体" w:eastAsia="宋体" w:cs="宋体"/>
          <w:bCs/>
          <w:color w:val="auto"/>
          <w:sz w:val="24"/>
          <w:highlight w:val="none"/>
          <w:lang w:val="en-US" w:eastAsia="zh-CN"/>
        </w:rPr>
        <w:t>。</w:t>
      </w:r>
    </w:p>
    <w:p w14:paraId="100CBDB5">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 xml:space="preserve">第三条　货款结算 </w:t>
      </w:r>
    </w:p>
    <w:p w14:paraId="75350154">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default" w:ascii="宋体" w:hAnsi="宋体" w:eastAsia="宋体" w:cs="Times New Roman"/>
          <w:sz w:val="24"/>
          <w:szCs w:val="24"/>
          <w:highlight w:val="none"/>
          <w:u w:val="single"/>
          <w:lang w:val="en-US" w:eastAsia="zh-CN"/>
        </w:rPr>
      </w:pPr>
      <w:r>
        <w:rPr>
          <w:rFonts w:hint="eastAsia" w:ascii="宋体" w:hAnsi="宋体" w:cs="Times New Roman"/>
          <w:sz w:val="24"/>
          <w:szCs w:val="24"/>
          <w:highlight w:val="none"/>
          <w:lang w:eastAsia="zh-CN"/>
        </w:rPr>
        <w:t>付款</w:t>
      </w:r>
      <w:r>
        <w:rPr>
          <w:rFonts w:hint="eastAsia" w:ascii="宋体" w:hAnsi="宋体" w:eastAsia="宋体" w:cs="Times New Roman"/>
          <w:sz w:val="24"/>
          <w:szCs w:val="24"/>
          <w:highlight w:val="none"/>
        </w:rPr>
        <w:t>方式：</w:t>
      </w:r>
      <w:r>
        <w:rPr>
          <w:rFonts w:hint="eastAsia" w:ascii="宋体" w:hAnsi="宋体" w:eastAsia="宋体" w:cs="Times New Roman"/>
          <w:sz w:val="24"/>
          <w:szCs w:val="24"/>
          <w:highlight w:val="none"/>
          <w:u w:val="single"/>
          <w:lang w:val="en-US" w:eastAsia="zh-CN"/>
        </w:rPr>
        <w:t xml:space="preserve">  甲乙双方协商             </w:t>
      </w:r>
    </w:p>
    <w:p w14:paraId="44A3466B">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第</w:t>
      </w:r>
      <w:r>
        <w:rPr>
          <w:rFonts w:hint="eastAsia" w:ascii="宋体" w:hAnsi="宋体" w:eastAsia="宋体" w:cs="Times New Roman"/>
          <w:sz w:val="24"/>
          <w:szCs w:val="24"/>
          <w:highlight w:val="none"/>
          <w:lang w:eastAsia="zh-CN"/>
        </w:rPr>
        <w:t>四</w:t>
      </w:r>
      <w:r>
        <w:rPr>
          <w:rFonts w:hint="eastAsia" w:ascii="宋体" w:hAnsi="宋体" w:eastAsia="宋体" w:cs="Times New Roman"/>
          <w:sz w:val="24"/>
          <w:szCs w:val="24"/>
          <w:highlight w:val="none"/>
        </w:rPr>
        <w:t>条  违约责任</w:t>
      </w:r>
    </w:p>
    <w:p w14:paraId="733666D4">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1.</w:t>
      </w:r>
      <w:r>
        <w:rPr>
          <w:rFonts w:hint="eastAsia" w:ascii="宋体" w:hAnsi="宋体" w:eastAsia="宋体" w:cs="Times New Roman"/>
          <w:sz w:val="24"/>
          <w:szCs w:val="24"/>
          <w:highlight w:val="none"/>
        </w:rPr>
        <w:t>乙方不能交货</w:t>
      </w:r>
      <w:r>
        <w:rPr>
          <w:rFonts w:hint="eastAsia" w:ascii="宋体" w:hAnsi="宋体" w:cs="Times New Roman"/>
          <w:sz w:val="24"/>
          <w:szCs w:val="24"/>
          <w:highlight w:val="none"/>
          <w:lang w:eastAsia="zh-CN"/>
        </w:rPr>
        <w:t>安装</w:t>
      </w:r>
      <w:r>
        <w:rPr>
          <w:rFonts w:hint="eastAsia" w:ascii="宋体" w:hAnsi="宋体" w:eastAsia="宋体" w:cs="Times New Roman"/>
          <w:sz w:val="24"/>
          <w:szCs w:val="24"/>
          <w:highlight w:val="none"/>
        </w:rPr>
        <w:t>的，应向甲方偿付合同总价款5％的违约金；</w:t>
      </w:r>
    </w:p>
    <w:p w14:paraId="27141B4B">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2</w:t>
      </w:r>
      <w:r>
        <w:rPr>
          <w:rFonts w:hint="eastAsia"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rPr>
        <w:t>乙方不能按时交货</w:t>
      </w:r>
      <w:r>
        <w:rPr>
          <w:rFonts w:hint="eastAsia" w:ascii="宋体" w:hAnsi="宋体" w:cs="Times New Roman"/>
          <w:sz w:val="24"/>
          <w:szCs w:val="24"/>
          <w:highlight w:val="none"/>
          <w:lang w:eastAsia="zh-CN"/>
        </w:rPr>
        <w:t>安装</w:t>
      </w:r>
      <w:r>
        <w:rPr>
          <w:rFonts w:hint="eastAsia" w:ascii="宋体" w:hAnsi="宋体" w:eastAsia="宋体" w:cs="Times New Roman"/>
          <w:sz w:val="24"/>
          <w:szCs w:val="24"/>
          <w:highlight w:val="none"/>
        </w:rPr>
        <w:t>的，每逾期一天，向甲方偿付合同总价款的5‰的违约金</w:t>
      </w:r>
      <w:r>
        <w:rPr>
          <w:rFonts w:hint="eastAsia" w:ascii="宋体" w:hAnsi="宋体" w:cs="Times New Roman"/>
          <w:sz w:val="24"/>
          <w:szCs w:val="24"/>
          <w:highlight w:val="none"/>
          <w:lang w:eastAsia="zh-CN"/>
        </w:rPr>
        <w:t>。</w:t>
      </w:r>
    </w:p>
    <w:p w14:paraId="0ADF003B">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3</w:t>
      </w:r>
      <w:r>
        <w:rPr>
          <w:rFonts w:hint="eastAsia"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rPr>
        <w:t>如果乙方不能按照合同规定的时间交货</w:t>
      </w:r>
      <w:r>
        <w:rPr>
          <w:rFonts w:hint="eastAsia" w:ascii="宋体" w:hAnsi="宋体" w:cs="Times New Roman"/>
          <w:sz w:val="24"/>
          <w:szCs w:val="24"/>
          <w:highlight w:val="none"/>
          <w:lang w:eastAsia="zh-CN"/>
        </w:rPr>
        <w:t>安装</w:t>
      </w:r>
      <w:r>
        <w:rPr>
          <w:rFonts w:hint="eastAsia" w:ascii="宋体" w:hAnsi="宋体" w:eastAsia="宋体" w:cs="Times New Roman"/>
          <w:sz w:val="24"/>
          <w:szCs w:val="24"/>
          <w:highlight w:val="none"/>
        </w:rPr>
        <w:t>的，甲方有权从货款中扣除误期赔偿费而不影响合同项下其他补救办法。</w:t>
      </w:r>
    </w:p>
    <w:p w14:paraId="2D411E48">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cs="Times New Roman"/>
          <w:sz w:val="24"/>
          <w:szCs w:val="24"/>
          <w:highlight w:val="none"/>
          <w:lang w:val="en-US" w:eastAsia="zh-CN"/>
        </w:rPr>
        <w:t>4</w:t>
      </w:r>
      <w:r>
        <w:rPr>
          <w:rFonts w:hint="eastAsia" w:ascii="宋体" w:hAnsi="宋体" w:eastAsia="宋体" w:cs="Times New Roman"/>
          <w:sz w:val="24"/>
          <w:szCs w:val="24"/>
          <w:highlight w:val="none"/>
        </w:rPr>
        <w:t>.甲方逾期付款的，应向乙方赔付逾期付款的违约金。</w:t>
      </w:r>
    </w:p>
    <w:p w14:paraId="74B9FD37">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cs="Times New Roman"/>
          <w:sz w:val="24"/>
          <w:szCs w:val="24"/>
          <w:highlight w:val="none"/>
          <w:lang w:val="en-US" w:eastAsia="zh-CN"/>
        </w:rPr>
        <w:t>6</w:t>
      </w:r>
      <w:r>
        <w:rPr>
          <w:rFonts w:hint="eastAsia" w:ascii="宋体" w:hAnsi="宋体" w:eastAsia="宋体" w:cs="Times New Roman"/>
          <w:sz w:val="24"/>
          <w:szCs w:val="24"/>
          <w:highlight w:val="none"/>
        </w:rPr>
        <w:t>.甲乙双方不得擅自变更、中止或者终止合同，在合同履约中有过错的一方应当承担赔偿责任，甲乙双方都有过错的，各自承担相应的责任。确因甲方原因导致变更、中止或终止合同，甲方依照合同约定对乙方受到的损失给予赔偿或者补偿。</w:t>
      </w:r>
    </w:p>
    <w:p w14:paraId="3FA9E084">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第</w:t>
      </w:r>
      <w:r>
        <w:rPr>
          <w:rFonts w:hint="eastAsia" w:ascii="宋体" w:hAnsi="宋体" w:cs="Times New Roman"/>
          <w:sz w:val="24"/>
          <w:szCs w:val="24"/>
          <w:highlight w:val="none"/>
          <w:lang w:eastAsia="zh-CN"/>
        </w:rPr>
        <w:t>五</w:t>
      </w:r>
      <w:r>
        <w:rPr>
          <w:rFonts w:hint="eastAsia" w:ascii="宋体" w:hAnsi="宋体" w:eastAsia="宋体" w:cs="Times New Roman"/>
          <w:sz w:val="24"/>
          <w:szCs w:val="24"/>
          <w:highlight w:val="none"/>
        </w:rPr>
        <w:t xml:space="preserve">条 不可抗力 </w:t>
      </w:r>
    </w:p>
    <w:p w14:paraId="5E5F357E">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甲乙双方的任何一方由于不可抗力的原因（如水灾、旱灾、暴风雪、地震战争、罢工、政府禁令等）不能履行合同时，应及时向对方通报不能履行或不能完全履行的理由，以减轻可能给对方造成的损失。</w:t>
      </w:r>
    </w:p>
    <w:p w14:paraId="7F092CB6">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第</w:t>
      </w:r>
      <w:r>
        <w:rPr>
          <w:rFonts w:hint="eastAsia" w:ascii="宋体" w:hAnsi="宋体" w:cs="Times New Roman"/>
          <w:sz w:val="24"/>
          <w:szCs w:val="24"/>
          <w:highlight w:val="none"/>
          <w:lang w:eastAsia="zh-CN"/>
        </w:rPr>
        <w:t>六</w:t>
      </w:r>
      <w:r>
        <w:rPr>
          <w:rFonts w:hint="eastAsia" w:ascii="宋体" w:hAnsi="宋体" w:eastAsia="宋体" w:cs="Times New Roman"/>
          <w:sz w:val="24"/>
          <w:szCs w:val="24"/>
          <w:highlight w:val="none"/>
        </w:rPr>
        <w:t>条 乙方投标文件为本合同附加条款，与本合同具有同等法律效力。</w:t>
      </w:r>
    </w:p>
    <w:p w14:paraId="4D95F608">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第</w:t>
      </w:r>
      <w:r>
        <w:rPr>
          <w:rFonts w:hint="eastAsia" w:ascii="宋体" w:hAnsi="宋体" w:cs="Times New Roman"/>
          <w:sz w:val="24"/>
          <w:szCs w:val="24"/>
          <w:highlight w:val="none"/>
          <w:lang w:eastAsia="zh-CN"/>
        </w:rPr>
        <w:t>七</w:t>
      </w:r>
      <w:r>
        <w:rPr>
          <w:rFonts w:hint="eastAsia" w:ascii="宋体" w:hAnsi="宋体" w:eastAsia="宋体" w:cs="Times New Roman"/>
          <w:sz w:val="24"/>
          <w:szCs w:val="24"/>
          <w:highlight w:val="none"/>
        </w:rPr>
        <w:t>条  本合同如发生纠纷，当事人双方应当及时协商解决，协商不成时，任何一方均可向</w:t>
      </w:r>
      <w:r>
        <w:rPr>
          <w:rFonts w:hint="eastAsia" w:ascii="宋体" w:hAnsi="宋体" w:cs="Times New Roman"/>
          <w:sz w:val="24"/>
          <w:szCs w:val="24"/>
          <w:highlight w:val="none"/>
          <w:lang w:eastAsia="zh-CN"/>
        </w:rPr>
        <w:t>项目所在地</w:t>
      </w:r>
      <w:r>
        <w:rPr>
          <w:rFonts w:hint="eastAsia" w:ascii="宋体" w:hAnsi="宋体" w:eastAsia="宋体" w:cs="Times New Roman"/>
          <w:sz w:val="24"/>
          <w:szCs w:val="24"/>
          <w:highlight w:val="none"/>
        </w:rPr>
        <w:t>仲裁委员会申请仲裁，也可以直接向甲方所在地管辖的人民法院起诉。</w:t>
      </w:r>
    </w:p>
    <w:p w14:paraId="734D1FF3">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eastAsia="zh-CN"/>
        </w:rPr>
        <w:t>第八条</w:t>
      </w:r>
      <w:r>
        <w:rPr>
          <w:rFonts w:hint="eastAsia" w:ascii="宋体" w:hAnsi="宋体" w:cs="Times New Roman"/>
          <w:color w:val="auto"/>
          <w:sz w:val="24"/>
          <w:szCs w:val="24"/>
          <w:highlight w:val="none"/>
          <w:lang w:val="en-US" w:eastAsia="zh-CN"/>
        </w:rPr>
        <w:t xml:space="preserve"> 产品安装过程中，如施工图纸与实际安装情况不适应，乙方可根据实际情况优化施工图纸，以保证项目顺利进行。</w:t>
      </w:r>
    </w:p>
    <w:p w14:paraId="043C2D77">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第</w:t>
      </w:r>
      <w:r>
        <w:rPr>
          <w:rFonts w:hint="eastAsia" w:ascii="宋体" w:hAnsi="宋体" w:cs="Times New Roman"/>
          <w:sz w:val="24"/>
          <w:szCs w:val="24"/>
          <w:highlight w:val="none"/>
          <w:lang w:eastAsia="zh-CN"/>
        </w:rPr>
        <w:t>九</w:t>
      </w:r>
      <w:r>
        <w:rPr>
          <w:rFonts w:hint="eastAsia" w:ascii="宋体" w:hAnsi="宋体" w:eastAsia="宋体" w:cs="Times New Roman"/>
          <w:sz w:val="24"/>
          <w:szCs w:val="24"/>
          <w:highlight w:val="none"/>
        </w:rPr>
        <w:t>条  合同如有未尽事宜，须经双方共同协商，做出补充规定，补充规定与合同具有同等法律效力。</w:t>
      </w:r>
    </w:p>
    <w:p w14:paraId="1F07D56E">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第十条 本合同一式四份，甲方执三份，乙方执壹份。自双方签字盖章之日起生效。</w:t>
      </w:r>
    </w:p>
    <w:p w14:paraId="4D46C11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Times New Roman"/>
          <w:sz w:val="24"/>
          <w:szCs w:val="24"/>
          <w:highlight w:val="none"/>
          <w:lang w:eastAsia="zh-CN"/>
        </w:rPr>
      </w:pPr>
    </w:p>
    <w:p w14:paraId="5E99046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Times New Roman"/>
          <w:sz w:val="24"/>
          <w:szCs w:val="24"/>
          <w:highlight w:val="none"/>
          <w:lang w:eastAsia="zh-CN"/>
        </w:rPr>
      </w:pPr>
    </w:p>
    <w:p w14:paraId="1517381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z w:val="24"/>
          <w:szCs w:val="24"/>
          <w:highlight w:val="none"/>
        </w:rPr>
      </w:pPr>
      <w:r>
        <w:rPr>
          <w:rFonts w:hint="eastAsia" w:ascii="宋体" w:hAnsi="宋体" w:cs="Times New Roman"/>
          <w:b/>
          <w:bCs/>
          <w:sz w:val="28"/>
          <w:szCs w:val="28"/>
          <w:highlight w:val="none"/>
          <w:lang w:eastAsia="zh-CN"/>
        </w:rPr>
        <w:t>签署页</w:t>
      </w:r>
    </w:p>
    <w:p w14:paraId="216005A0">
      <w:pPr>
        <w:keepNext w:val="0"/>
        <w:keepLines w:val="0"/>
        <w:pageBreakBefore w:val="0"/>
        <w:widowControl w:val="0"/>
        <w:kinsoku/>
        <w:wordWrap/>
        <w:overflowPunct/>
        <w:topLinePunct w:val="0"/>
        <w:autoSpaceDE/>
        <w:autoSpaceDN/>
        <w:bidi w:val="0"/>
        <w:adjustRightInd/>
        <w:snapToGrid/>
        <w:spacing w:line="240" w:lineRule="auto"/>
        <w:ind w:firstLine="700" w:firstLineChars="292"/>
        <w:jc w:val="left"/>
        <w:textAlignment w:val="auto"/>
        <w:rPr>
          <w:rFonts w:hint="eastAsia" w:ascii="宋体" w:hAnsi="宋体" w:eastAsia="宋体" w:cs="Times New Roman"/>
          <w:sz w:val="24"/>
          <w:szCs w:val="24"/>
          <w:highlight w:val="none"/>
        </w:rPr>
      </w:pPr>
    </w:p>
    <w:p w14:paraId="458F6E3A">
      <w:pPr>
        <w:keepNext w:val="0"/>
        <w:keepLines w:val="0"/>
        <w:pageBreakBefore w:val="0"/>
        <w:widowControl w:val="0"/>
        <w:kinsoku/>
        <w:wordWrap/>
        <w:overflowPunct/>
        <w:topLinePunct w:val="0"/>
        <w:autoSpaceDE/>
        <w:autoSpaceDN/>
        <w:bidi w:val="0"/>
        <w:adjustRightInd/>
        <w:snapToGrid/>
        <w:spacing w:line="360" w:lineRule="auto"/>
        <w:ind w:firstLine="700" w:firstLineChars="2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甲 方：</w:t>
      </w:r>
      <w:r>
        <w:rPr>
          <w:rFonts w:hint="eastAsia" w:ascii="宋体" w:hAnsi="宋体" w:eastAsia="宋体" w:cs="Times New Roman"/>
          <w:sz w:val="24"/>
          <w:szCs w:val="24"/>
          <w:highlight w:val="none"/>
          <w:lang w:val="en-US" w:eastAsia="zh-CN"/>
        </w:rPr>
        <w:t xml:space="preserve">                </w:t>
      </w:r>
      <w:r>
        <w:rPr>
          <w:rFonts w:hint="eastAsia" w:ascii="宋体" w:hAnsi="宋体" w:eastAsia="宋体" w:cs="Times New Roman"/>
          <w:sz w:val="24"/>
          <w:szCs w:val="24"/>
          <w:highlight w:val="none"/>
        </w:rPr>
        <w:t xml:space="preserve">         乙 方： </w:t>
      </w:r>
    </w:p>
    <w:p w14:paraId="01043BB7">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 xml:space="preserve">  地  址：</w:t>
      </w:r>
      <w:r>
        <w:rPr>
          <w:rFonts w:hint="eastAsia" w:ascii="宋体" w:hAnsi="宋体" w:eastAsia="宋体" w:cs="Times New Roman"/>
          <w:sz w:val="24"/>
          <w:szCs w:val="24"/>
          <w:highlight w:val="none"/>
          <w:lang w:val="en-US" w:eastAsia="zh-CN"/>
        </w:rPr>
        <w:t xml:space="preserve">                  </w:t>
      </w:r>
      <w:r>
        <w:rPr>
          <w:rFonts w:hint="eastAsia" w:ascii="宋体" w:hAnsi="宋体" w:eastAsia="宋体" w:cs="Times New Roman"/>
          <w:sz w:val="24"/>
          <w:szCs w:val="24"/>
          <w:highlight w:val="none"/>
        </w:rPr>
        <w:t xml:space="preserve">      地  址：</w:t>
      </w:r>
    </w:p>
    <w:p w14:paraId="4C8B7E19">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 xml:space="preserve">  电  话：</w:t>
      </w:r>
      <w:r>
        <w:rPr>
          <w:rFonts w:hint="eastAsia" w:ascii="宋体" w:hAnsi="宋体" w:eastAsia="宋体" w:cs="Times New Roman"/>
          <w:sz w:val="24"/>
          <w:szCs w:val="24"/>
          <w:highlight w:val="none"/>
          <w:lang w:val="en-US" w:eastAsia="zh-CN"/>
        </w:rPr>
        <w:t xml:space="preserve">            </w:t>
      </w:r>
      <w:r>
        <w:rPr>
          <w:rFonts w:hint="eastAsia" w:ascii="宋体" w:hAnsi="宋体" w:eastAsia="宋体" w:cs="Times New Roman"/>
          <w:sz w:val="24"/>
          <w:szCs w:val="24"/>
          <w:highlight w:val="none"/>
        </w:rPr>
        <w:t xml:space="preserve">            电  话：</w:t>
      </w:r>
    </w:p>
    <w:p w14:paraId="56AAFDDC">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 xml:space="preserve">  开户行：                        开户行：</w:t>
      </w:r>
    </w:p>
    <w:p w14:paraId="17457A3E">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 xml:space="preserve">  帐  号：                        帐  号：  </w:t>
      </w:r>
    </w:p>
    <w:p w14:paraId="0CA15BB1">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法人或委托人签字：               法人或委托人签字：</w:t>
      </w:r>
    </w:p>
    <w:p w14:paraId="56E5034E">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 xml:space="preserve">                     </w:t>
      </w:r>
    </w:p>
    <w:p w14:paraId="2CF8D2F5">
      <w:pP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br w:type="page"/>
      </w:r>
    </w:p>
    <w:p w14:paraId="0F3E4521">
      <w:pPr>
        <w:rPr>
          <w:rFonts w:hint="eastAsia" w:ascii="宋体" w:hAnsi="宋体" w:eastAsia="宋体" w:cs="宋体"/>
          <w:color w:val="000000"/>
          <w:kern w:val="0"/>
          <w:sz w:val="24"/>
          <w:highlight w:val="none"/>
        </w:rPr>
      </w:pPr>
    </w:p>
    <w:p w14:paraId="3F645848">
      <w:pPr>
        <w:jc w:val="left"/>
        <w:rPr>
          <w:rFonts w:hint="default" w:eastAsia="仿宋_GB2312"/>
          <w:bCs/>
          <w:color w:val="0000FF"/>
          <w:sz w:val="32"/>
          <w:szCs w:val="32"/>
          <w:highlight w:val="none"/>
          <w:lang w:val="en-US" w:eastAsia="zh-CN"/>
        </w:rPr>
      </w:pPr>
      <w:r>
        <w:rPr>
          <w:rFonts w:hint="eastAsia" w:ascii="宋体" w:hAnsi="宋体" w:eastAsia="宋体" w:cs="宋体"/>
          <w:bCs/>
          <w:color w:val="0000FF"/>
          <w:sz w:val="32"/>
          <w:szCs w:val="32"/>
          <w:highlight w:val="none"/>
          <w:lang w:val="en-US" w:eastAsia="zh-CN"/>
        </w:rPr>
        <w:t>三标段合同模板</w:t>
      </w:r>
      <w:r>
        <w:rPr>
          <w:rFonts w:hint="eastAsia" w:eastAsia="仿宋_GB2312"/>
          <w:bCs/>
          <w:color w:val="0000FF"/>
          <w:sz w:val="32"/>
          <w:szCs w:val="32"/>
          <w:highlight w:val="none"/>
          <w:lang w:val="en-US" w:eastAsia="zh-CN"/>
        </w:rPr>
        <w:t>：</w:t>
      </w:r>
    </w:p>
    <w:p w14:paraId="74DB347C">
      <w:pPr>
        <w:jc w:val="left"/>
        <w:rPr>
          <w:rFonts w:eastAsia="仿宋_GB2312"/>
          <w:bCs/>
          <w:color w:val="000000"/>
          <w:sz w:val="32"/>
          <w:szCs w:val="32"/>
          <w:highlight w:val="none"/>
        </w:rPr>
      </w:pPr>
      <w:r>
        <w:rPr>
          <w:rFonts w:eastAsia="仿宋_GB2312"/>
          <w:bCs/>
          <w:color w:val="000000"/>
          <w:sz w:val="32"/>
          <w:szCs w:val="32"/>
          <w:highlight w:val="none"/>
        </w:rPr>
        <w:t>（GF—201</w:t>
      </w:r>
      <w:r>
        <w:rPr>
          <w:rFonts w:hint="eastAsia" w:eastAsia="仿宋_GB2312"/>
          <w:bCs/>
          <w:color w:val="000000"/>
          <w:sz w:val="32"/>
          <w:szCs w:val="32"/>
          <w:highlight w:val="none"/>
        </w:rPr>
        <w:t>7</w:t>
      </w:r>
      <w:r>
        <w:rPr>
          <w:rFonts w:eastAsia="仿宋_GB2312"/>
          <w:bCs/>
          <w:color w:val="000000"/>
          <w:sz w:val="32"/>
          <w:szCs w:val="32"/>
          <w:highlight w:val="none"/>
        </w:rPr>
        <w:t>—</w:t>
      </w:r>
      <w:r>
        <w:rPr>
          <w:rFonts w:hint="eastAsia" w:eastAsia="仿宋_GB2312"/>
          <w:bCs/>
          <w:color w:val="000000"/>
          <w:sz w:val="32"/>
          <w:szCs w:val="32"/>
          <w:highlight w:val="none"/>
        </w:rPr>
        <w:t>0201）</w:t>
      </w:r>
    </w:p>
    <w:p w14:paraId="5CACA301">
      <w:pPr>
        <w:jc w:val="center"/>
        <w:rPr>
          <w:rFonts w:eastAsia="华文中宋"/>
          <w:b/>
          <w:color w:val="000000"/>
          <w:sz w:val="52"/>
          <w:szCs w:val="52"/>
          <w:highlight w:val="none"/>
        </w:rPr>
      </w:pPr>
    </w:p>
    <w:p w14:paraId="04C20F0E">
      <w:pPr>
        <w:jc w:val="center"/>
        <w:rPr>
          <w:rFonts w:eastAsia="华文中宋"/>
          <w:b/>
          <w:color w:val="000000"/>
          <w:sz w:val="52"/>
          <w:szCs w:val="52"/>
          <w:highlight w:val="none"/>
        </w:rPr>
      </w:pPr>
    </w:p>
    <w:p w14:paraId="0FCA63DE">
      <w:pPr>
        <w:jc w:val="center"/>
        <w:rPr>
          <w:rFonts w:hint="eastAsia" w:eastAsia="华文中宋"/>
          <w:b/>
          <w:color w:val="000000"/>
          <w:sz w:val="72"/>
          <w:szCs w:val="52"/>
          <w:highlight w:val="none"/>
          <w:lang w:eastAsia="zh-CN"/>
        </w:rPr>
      </w:pPr>
      <w:r>
        <w:rPr>
          <w:rFonts w:eastAsia="华文中宋"/>
          <w:b w:val="0"/>
          <w:bCs/>
          <w:color w:val="000000"/>
          <w:sz w:val="72"/>
          <w:szCs w:val="52"/>
          <w:highlight w:val="none"/>
        </w:rPr>
        <w:t>建设工程施工合同</w:t>
      </w:r>
    </w:p>
    <w:p w14:paraId="2143BFE8">
      <w:pPr>
        <w:pStyle w:val="38"/>
        <w:rPr>
          <w:rFonts w:hint="eastAsia"/>
          <w:highlight w:val="none"/>
          <w:lang w:eastAsia="zh-CN"/>
        </w:rPr>
      </w:pPr>
    </w:p>
    <w:p w14:paraId="4750BD56">
      <w:pPr>
        <w:jc w:val="center"/>
        <w:rPr>
          <w:rFonts w:eastAsia="华文中宋"/>
          <w:b/>
          <w:color w:val="000000"/>
          <w:sz w:val="52"/>
          <w:szCs w:val="52"/>
          <w:highlight w:val="none"/>
        </w:rPr>
      </w:pPr>
    </w:p>
    <w:p w14:paraId="3CDFD5C8">
      <w:pPr>
        <w:jc w:val="center"/>
        <w:rPr>
          <w:rFonts w:eastAsia="黑体"/>
          <w:b/>
          <w:color w:val="000000"/>
          <w:sz w:val="72"/>
          <w:szCs w:val="72"/>
          <w:highlight w:val="none"/>
        </w:rPr>
      </w:pPr>
    </w:p>
    <w:p w14:paraId="28CA1A71">
      <w:pPr>
        <w:rPr>
          <w:b/>
          <w:color w:val="000000"/>
          <w:sz w:val="28"/>
          <w:szCs w:val="28"/>
          <w:highlight w:val="none"/>
        </w:rPr>
      </w:pPr>
    </w:p>
    <w:p w14:paraId="4A595304">
      <w:pPr>
        <w:rPr>
          <w:b/>
          <w:color w:val="000000"/>
          <w:sz w:val="28"/>
          <w:szCs w:val="28"/>
          <w:highlight w:val="none"/>
        </w:rPr>
      </w:pPr>
    </w:p>
    <w:p w14:paraId="579082C8">
      <w:pPr>
        <w:pStyle w:val="13"/>
        <w:ind w:left="0" w:leftChars="0" w:firstLine="0" w:firstLineChars="0"/>
        <w:rPr>
          <w:b/>
          <w:color w:val="000000"/>
          <w:sz w:val="28"/>
          <w:szCs w:val="28"/>
          <w:highlight w:val="none"/>
        </w:rPr>
      </w:pPr>
    </w:p>
    <w:p w14:paraId="354AF795">
      <w:pPr>
        <w:rPr>
          <w:highlight w:val="none"/>
        </w:rPr>
      </w:pPr>
    </w:p>
    <w:p w14:paraId="642FD1B2">
      <w:pPr>
        <w:rPr>
          <w:b/>
          <w:color w:val="000000"/>
          <w:sz w:val="28"/>
          <w:szCs w:val="28"/>
          <w:highlight w:val="none"/>
        </w:rPr>
      </w:pPr>
    </w:p>
    <w:p w14:paraId="789653E1">
      <w:pPr>
        <w:ind w:right="2719" w:rightChars="1295" w:firstLine="2738" w:firstLineChars="1304"/>
        <w:jc w:val="distribute"/>
        <w:rPr>
          <w:b/>
          <w:color w:val="000000"/>
          <w:sz w:val="32"/>
          <w:szCs w:val="28"/>
          <w:highlight w:val="none"/>
        </w:rPr>
      </w:pPr>
      <w:r>
        <w:rPr>
          <w:szCs w:val="22"/>
          <w:highlight w:val="none"/>
        </w:rPr>
        <mc:AlternateContent>
          <mc:Choice Requires="wps">
            <w:drawing>
              <wp:anchor distT="0" distB="0" distL="114300" distR="114300" simplePos="0" relativeHeight="251662336"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642FDAC7">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62336;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BzS1x2AAAAAkBAAAPAAAAAAAAAAEAIAAAACIA&#10;AABkcnMvZG93bnJldi54bWxQSwECFAAUAAAACACHTuJA5IdkigkCAAAaBAAADgAAAAAAAAABACAA&#10;AAAnAQAAZHJzL2Uyb0RvYy54bWxQSwUGAAAAAAYABgBZAQAAogUAAAAA&#10;">
                <v:fill on="f" focussize="0,0"/>
                <v:stroke color="#FFFFFF" joinstyle="miter"/>
                <v:imagedata o:title=""/>
                <o:lock v:ext="edit" aspectratio="f"/>
                <v:textbox>
                  <w:txbxContent>
                    <w:p w14:paraId="642FDAC7">
                      <w:pPr>
                        <w:rPr>
                          <w:b/>
                          <w:bCs/>
                          <w:sz w:val="32"/>
                        </w:rPr>
                      </w:pPr>
                      <w:r>
                        <w:rPr>
                          <w:rFonts w:hint="eastAsia"/>
                          <w:b/>
                          <w:bCs/>
                          <w:sz w:val="32"/>
                        </w:rPr>
                        <w:t>制定</w:t>
                      </w:r>
                    </w:p>
                  </w:txbxContent>
                </v:textbox>
              </v:shape>
            </w:pict>
          </mc:Fallback>
        </mc:AlternateContent>
      </w:r>
      <w:r>
        <w:rPr>
          <w:b/>
          <w:color w:val="000000"/>
          <w:sz w:val="32"/>
          <w:szCs w:val="28"/>
          <w:highlight w:val="none"/>
        </w:rPr>
        <w:t>住房城乡建设部</w:t>
      </w:r>
    </w:p>
    <w:p w14:paraId="0A501FF9">
      <w:pPr>
        <w:ind w:right="2719" w:rightChars="1295" w:firstLine="2750" w:firstLineChars="856"/>
        <w:jc w:val="distribute"/>
        <w:rPr>
          <w:b/>
          <w:color w:val="000000"/>
          <w:sz w:val="32"/>
          <w:szCs w:val="28"/>
          <w:highlight w:val="none"/>
        </w:rPr>
      </w:pPr>
      <w:r>
        <w:rPr>
          <w:b/>
          <w:color w:val="000000"/>
          <w:sz w:val="32"/>
          <w:szCs w:val="28"/>
          <w:highlight w:val="none"/>
        </w:rPr>
        <w:t>国家工商行政管理总局</w:t>
      </w:r>
    </w:p>
    <w:p w14:paraId="7D912B05">
      <w:pPr>
        <w:keepNext/>
        <w:keepLines/>
        <w:spacing w:before="260" w:after="260" w:line="413" w:lineRule="auto"/>
        <w:rPr>
          <w:rFonts w:eastAsia="仿宋_GB2312"/>
          <w:b/>
          <w:bCs/>
          <w:sz w:val="28"/>
          <w:szCs w:val="28"/>
          <w:highlight w:val="none"/>
        </w:rPr>
        <w:sectPr>
          <w:footerReference r:id="rId6" w:type="first"/>
          <w:footerReference r:id="rId5" w:type="default"/>
          <w:pgSz w:w="11906" w:h="16838"/>
          <w:pgMar w:top="1418" w:right="1555" w:bottom="1418" w:left="1531" w:header="851" w:footer="992" w:gutter="0"/>
          <w:pgNumType w:fmt="decimal" w:start="1"/>
          <w:cols w:space="720" w:num="1"/>
          <w:titlePg/>
          <w:docGrid w:type="lines" w:linePitch="312" w:charSpace="0"/>
        </w:sectPr>
      </w:pPr>
      <w:bookmarkStart w:id="254" w:name="_Toc296503025"/>
      <w:bookmarkStart w:id="255" w:name="_Toc351203480"/>
      <w:bookmarkStart w:id="256" w:name="_Toc296890982"/>
    </w:p>
    <w:bookmarkEnd w:id="254"/>
    <w:bookmarkEnd w:id="255"/>
    <w:bookmarkEnd w:id="256"/>
    <w:p w14:paraId="0EFE021F">
      <w:pPr>
        <w:keepNext/>
        <w:tabs>
          <w:tab w:val="left" w:pos="2940"/>
        </w:tabs>
        <w:ind w:left="2940"/>
        <w:outlineLvl w:val="0"/>
        <w:rPr>
          <w:rFonts w:hint="eastAsia" w:ascii="宋体" w:hAnsi="宋体" w:eastAsia="宋体" w:cs="宋体"/>
          <w:b/>
          <w:bCs/>
          <w:sz w:val="24"/>
          <w:highlight w:val="none"/>
        </w:rPr>
      </w:pPr>
      <w:bookmarkStart w:id="257" w:name="_Toc12829"/>
      <w:bookmarkStart w:id="258" w:name="_Toc18127"/>
      <w:bookmarkStart w:id="259" w:name="_Toc26842"/>
      <w:bookmarkStart w:id="260" w:name="_Toc18520"/>
      <w:bookmarkStart w:id="261" w:name="_Toc20804"/>
      <w:bookmarkStart w:id="262" w:name="_Toc15585"/>
      <w:bookmarkStart w:id="263" w:name="_Toc21432"/>
      <w:r>
        <w:rPr>
          <w:rFonts w:hint="eastAsia" w:ascii="宋体" w:hAnsi="宋体" w:eastAsia="宋体" w:cs="宋体"/>
          <w:b/>
          <w:bCs/>
          <w:sz w:val="24"/>
          <w:highlight w:val="none"/>
        </w:rPr>
        <w:t>第一部分 合同协议书</w:t>
      </w:r>
      <w:bookmarkEnd w:id="257"/>
      <w:bookmarkEnd w:id="258"/>
      <w:bookmarkEnd w:id="259"/>
      <w:bookmarkEnd w:id="260"/>
      <w:bookmarkEnd w:id="261"/>
      <w:bookmarkEnd w:id="262"/>
      <w:bookmarkEnd w:id="263"/>
    </w:p>
    <w:p w14:paraId="0DC4B127">
      <w:pPr>
        <w:keepLines w:val="0"/>
        <w:pageBreakBefore w:val="0"/>
        <w:widowControl w:val="0"/>
        <w:kinsoku/>
        <w:wordWrap/>
        <w:overflowPunct/>
        <w:topLinePunct w:val="0"/>
        <w:bidi w:val="0"/>
        <w:snapToGrid/>
        <w:spacing w:line="360" w:lineRule="auto"/>
        <w:textAlignment w:val="auto"/>
        <w:rPr>
          <w:rFonts w:hint="default" w:ascii="宋体" w:hAnsi="宋体" w:eastAsia="宋体" w:cs="宋体"/>
          <w:b w:val="0"/>
          <w:bCs/>
          <w:color w:val="000000"/>
          <w:sz w:val="24"/>
          <w:highlight w:val="none"/>
          <w:u w:val="single"/>
          <w:lang w:val="en-US" w:eastAsia="zh-CN"/>
        </w:rPr>
      </w:pPr>
      <w:r>
        <w:rPr>
          <w:rFonts w:hint="eastAsia" w:ascii="宋体" w:hAnsi="宋体" w:eastAsia="宋体" w:cs="宋体"/>
          <w:b/>
          <w:color w:val="000000"/>
          <w:sz w:val="24"/>
          <w:highlight w:val="none"/>
        </w:rPr>
        <w:t>发包人（全称）：</w:t>
      </w:r>
      <w:r>
        <w:rPr>
          <w:rFonts w:hint="eastAsia" w:ascii="宋体" w:hAnsi="宋体" w:eastAsia="宋体" w:cs="宋体"/>
          <w:b w:val="0"/>
          <w:bCs/>
          <w:color w:val="000000"/>
          <w:sz w:val="24"/>
          <w:highlight w:val="none"/>
          <w:u w:val="single"/>
          <w:lang w:val="en-US" w:eastAsia="zh-CN"/>
        </w:rPr>
        <w:t xml:space="preserve">                 </w:t>
      </w:r>
    </w:p>
    <w:p w14:paraId="5FAF84EB">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b/>
          <w:color w:val="000000"/>
          <w:sz w:val="24"/>
          <w:highlight w:val="none"/>
          <w:u w:val="single"/>
        </w:rPr>
      </w:pPr>
      <w:r>
        <w:rPr>
          <w:rFonts w:hint="eastAsia" w:ascii="宋体" w:hAnsi="宋体" w:eastAsia="宋体" w:cs="宋体"/>
          <w:b/>
          <w:color w:val="000000"/>
          <w:sz w:val="24"/>
          <w:highlight w:val="none"/>
        </w:rPr>
        <w:t>承包人（全称）：</w:t>
      </w:r>
      <w:r>
        <w:rPr>
          <w:rFonts w:hint="eastAsia" w:ascii="宋体" w:hAnsi="宋体" w:eastAsia="宋体" w:cs="宋体"/>
          <w:b/>
          <w:color w:val="000000"/>
          <w:sz w:val="24"/>
          <w:highlight w:val="none"/>
          <w:u w:val="single"/>
          <w:lang w:val="en-US" w:eastAsia="zh-CN"/>
        </w:rPr>
        <w:t xml:space="preserve">                 </w:t>
      </w:r>
    </w:p>
    <w:p w14:paraId="53640339">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color w:val="000000"/>
          <w:sz w:val="24"/>
          <w:highlight w:val="none"/>
        </w:rPr>
        <w:t>根据《中华人民共和国</w:t>
      </w:r>
      <w:r>
        <w:rPr>
          <w:rFonts w:hint="eastAsia" w:ascii="宋体" w:hAnsi="宋体" w:eastAsia="宋体" w:cs="宋体"/>
          <w:color w:val="000000"/>
          <w:sz w:val="24"/>
          <w:highlight w:val="none"/>
          <w:lang w:eastAsia="zh-CN"/>
        </w:rPr>
        <w:t>民法典</w:t>
      </w:r>
      <w:r>
        <w:rPr>
          <w:rFonts w:hint="eastAsia" w:ascii="宋体" w:hAnsi="宋体" w:eastAsia="宋体" w:cs="宋体"/>
          <w:color w:val="000000"/>
          <w:sz w:val="24"/>
          <w:highlight w:val="none"/>
        </w:rPr>
        <w:t>》、《中华人民共和国建筑法》及有关法律规定，遵循平等、自愿、公平和诚实信用的原则，双方就施工及有关事项协商一致，共同达成如下协议：</w:t>
      </w:r>
    </w:p>
    <w:p w14:paraId="00223975">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b/>
          <w:color w:val="000000"/>
          <w:sz w:val="24"/>
          <w:highlight w:val="none"/>
        </w:rPr>
      </w:pPr>
      <w:bookmarkStart w:id="264" w:name="_Toc351203481"/>
      <w:r>
        <w:rPr>
          <w:rFonts w:hint="eastAsia" w:ascii="宋体" w:hAnsi="宋体" w:eastAsia="宋体" w:cs="宋体"/>
          <w:b/>
          <w:color w:val="000000"/>
          <w:sz w:val="24"/>
          <w:highlight w:val="none"/>
        </w:rPr>
        <w:t>一、工程概况</w:t>
      </w:r>
      <w:bookmarkEnd w:id="264"/>
    </w:p>
    <w:p w14:paraId="3B824573">
      <w:pPr>
        <w:keepLines w:val="0"/>
        <w:pageBreakBefore w:val="0"/>
        <w:widowControl w:val="0"/>
        <w:kinsoku/>
        <w:wordWrap/>
        <w:overflowPunct/>
        <w:topLinePunct w:val="0"/>
        <w:bidi w:val="0"/>
        <w:snapToGrid/>
        <w:spacing w:line="360" w:lineRule="auto"/>
        <w:ind w:firstLine="470" w:firstLineChars="196"/>
        <w:textAlignment w:val="auto"/>
        <w:rPr>
          <w:rFonts w:hint="default" w:ascii="宋体" w:hAnsi="宋体" w:eastAsia="宋体" w:cs="宋体"/>
          <w:b w:val="0"/>
          <w:bCs/>
          <w:color w:val="000000"/>
          <w:sz w:val="24"/>
          <w:highlight w:val="none"/>
          <w:u w:val="single"/>
          <w:lang w:val="en-US" w:eastAsia="zh-CN"/>
        </w:rPr>
      </w:pPr>
      <w:r>
        <w:rPr>
          <w:rFonts w:hint="eastAsia" w:ascii="宋体" w:hAnsi="宋体" w:eastAsia="宋体" w:cs="宋体"/>
          <w:bCs/>
          <w:color w:val="000000"/>
          <w:sz w:val="24"/>
          <w:highlight w:val="none"/>
        </w:rPr>
        <w:t>1.工程名称</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u w:val="single"/>
          <w:lang w:val="en-US" w:eastAsia="zh-CN"/>
        </w:rPr>
        <w:t xml:space="preserve">                                         </w:t>
      </w:r>
    </w:p>
    <w:p w14:paraId="6646FE5C">
      <w:pPr>
        <w:keepLines w:val="0"/>
        <w:pageBreakBefore w:val="0"/>
        <w:widowControl w:val="0"/>
        <w:kinsoku/>
        <w:wordWrap/>
        <w:overflowPunct/>
        <w:topLinePunct w:val="0"/>
        <w:bidi w:val="0"/>
        <w:snapToGrid/>
        <w:spacing w:line="360" w:lineRule="auto"/>
        <w:ind w:firstLine="470" w:firstLineChars="196"/>
        <w:textAlignment w:val="auto"/>
        <w:rPr>
          <w:rFonts w:hint="default" w:ascii="宋体" w:hAnsi="宋体" w:eastAsia="宋体" w:cs="宋体"/>
          <w:b w:val="0"/>
          <w:bCs/>
          <w:color w:val="000000"/>
          <w:sz w:val="24"/>
          <w:highlight w:val="none"/>
          <w:u w:val="single"/>
          <w:lang w:val="en-US" w:eastAsia="zh-CN"/>
        </w:rPr>
      </w:pPr>
      <w:r>
        <w:rPr>
          <w:rFonts w:hint="eastAsia" w:ascii="宋体" w:hAnsi="宋体" w:eastAsia="宋体" w:cs="宋体"/>
          <w:bCs/>
          <w:color w:val="000000"/>
          <w:sz w:val="24"/>
          <w:highlight w:val="none"/>
        </w:rPr>
        <w:t>2.工程地点：</w:t>
      </w:r>
      <w:r>
        <w:rPr>
          <w:rFonts w:hint="eastAsia" w:ascii="宋体" w:hAnsi="宋体" w:eastAsia="宋体" w:cs="宋体"/>
          <w:bCs/>
          <w:color w:val="000000"/>
          <w:sz w:val="24"/>
          <w:highlight w:val="none"/>
          <w:u w:val="single"/>
          <w:lang w:val="en-US" w:eastAsia="zh-CN"/>
        </w:rPr>
        <w:t xml:space="preserve">                                         </w:t>
      </w:r>
    </w:p>
    <w:p w14:paraId="7097927E">
      <w:pPr>
        <w:keepLines w:val="0"/>
        <w:pageBreakBefore w:val="0"/>
        <w:widowControl w:val="0"/>
        <w:kinsoku/>
        <w:wordWrap/>
        <w:overflowPunct/>
        <w:topLinePunct w:val="0"/>
        <w:bidi w:val="0"/>
        <w:snapToGrid/>
        <w:spacing w:line="360" w:lineRule="auto"/>
        <w:ind w:firstLine="470" w:firstLineChars="196"/>
        <w:textAlignment w:val="auto"/>
        <w:rPr>
          <w:rFonts w:hint="default" w:ascii="宋体" w:hAnsi="宋体" w:eastAsia="宋体" w:cs="宋体"/>
          <w:bCs/>
          <w:color w:val="000000"/>
          <w:sz w:val="24"/>
          <w:highlight w:val="none"/>
          <w:lang w:val="en-US" w:eastAsia="zh-CN"/>
        </w:rPr>
      </w:pPr>
      <w:r>
        <w:rPr>
          <w:rFonts w:hint="eastAsia" w:ascii="宋体" w:hAnsi="宋体" w:eastAsia="宋体" w:cs="宋体"/>
          <w:bCs/>
          <w:color w:val="000000"/>
          <w:sz w:val="24"/>
          <w:highlight w:val="none"/>
        </w:rPr>
        <w:t>3.工程立项批准文号：</w:t>
      </w:r>
      <w:r>
        <w:rPr>
          <w:rFonts w:hint="eastAsia" w:ascii="宋体" w:hAnsi="宋体" w:eastAsia="宋体" w:cs="宋体"/>
          <w:bCs/>
          <w:color w:val="000000"/>
          <w:sz w:val="24"/>
          <w:highlight w:val="none"/>
          <w:u w:val="single"/>
          <w:lang w:val="en-US" w:eastAsia="zh-CN"/>
        </w:rPr>
        <w:t xml:space="preserve">             </w:t>
      </w:r>
    </w:p>
    <w:p w14:paraId="64C08FB1">
      <w:pPr>
        <w:keepLines w:val="0"/>
        <w:pageBreakBefore w:val="0"/>
        <w:widowControl w:val="0"/>
        <w:kinsoku/>
        <w:wordWrap/>
        <w:overflowPunct/>
        <w:topLinePunct w:val="0"/>
        <w:bidi w:val="0"/>
        <w:snapToGrid/>
        <w:spacing w:line="360" w:lineRule="auto"/>
        <w:ind w:firstLine="470" w:firstLineChars="196"/>
        <w:textAlignment w:val="auto"/>
        <w:rPr>
          <w:rFonts w:hint="default" w:ascii="宋体" w:hAnsi="宋体" w:eastAsia="宋体" w:cs="宋体"/>
          <w:bCs/>
          <w:color w:val="000000"/>
          <w:sz w:val="24"/>
          <w:highlight w:val="none"/>
          <w:u w:val="single"/>
          <w:lang w:val="en-US" w:eastAsia="zh-CN"/>
        </w:rPr>
      </w:pPr>
      <w:r>
        <w:rPr>
          <w:rFonts w:hint="eastAsia" w:ascii="宋体" w:hAnsi="宋体" w:eastAsia="宋体" w:cs="宋体"/>
          <w:bCs/>
          <w:color w:val="000000"/>
          <w:sz w:val="24"/>
          <w:highlight w:val="none"/>
        </w:rPr>
        <w:t>4.资金来源：</w:t>
      </w:r>
      <w:r>
        <w:rPr>
          <w:rFonts w:hint="eastAsia" w:ascii="宋体" w:hAnsi="宋体" w:eastAsia="宋体" w:cs="宋体"/>
          <w:bCs/>
          <w:color w:val="000000"/>
          <w:sz w:val="24"/>
          <w:highlight w:val="none"/>
          <w:u w:val="single"/>
          <w:lang w:val="en-US" w:eastAsia="zh-CN"/>
        </w:rPr>
        <w:t xml:space="preserve">                      </w:t>
      </w:r>
    </w:p>
    <w:p w14:paraId="08556D6F">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highlight w:val="none"/>
          <w:u w:val="single"/>
        </w:rPr>
      </w:pPr>
      <w:r>
        <w:rPr>
          <w:rFonts w:hint="eastAsia" w:ascii="宋体" w:hAnsi="宋体" w:eastAsia="宋体" w:cs="宋体"/>
          <w:bCs/>
          <w:color w:val="000000"/>
          <w:sz w:val="24"/>
          <w:highlight w:val="none"/>
        </w:rPr>
        <w:t>5.工程内容：</w:t>
      </w:r>
      <w:r>
        <w:rPr>
          <w:rFonts w:hint="eastAsia" w:ascii="宋体" w:hAnsi="宋体" w:eastAsia="宋体" w:cs="宋体"/>
          <w:bCs/>
          <w:color w:val="000000"/>
          <w:sz w:val="24"/>
          <w:highlight w:val="none"/>
          <w:u w:val="single"/>
          <w:lang w:val="en-US" w:eastAsia="zh-CN"/>
        </w:rPr>
        <w:t xml:space="preserve">                                               </w:t>
      </w:r>
      <w:r>
        <w:rPr>
          <w:rFonts w:hint="eastAsia" w:ascii="宋体" w:hAnsi="宋体" w:eastAsia="宋体" w:cs="宋体"/>
          <w:color w:val="000000"/>
          <w:sz w:val="24"/>
          <w:highlight w:val="none"/>
        </w:rPr>
        <w:t>。</w:t>
      </w:r>
    </w:p>
    <w:p w14:paraId="00294A7B">
      <w:pPr>
        <w:keepLines w:val="0"/>
        <w:pageBreakBefore w:val="0"/>
        <w:widowControl w:val="0"/>
        <w:kinsoku/>
        <w:wordWrap/>
        <w:overflowPunct/>
        <w:topLinePunct w:val="0"/>
        <w:bidi w:val="0"/>
        <w:snapToGrid/>
        <w:spacing w:line="360" w:lineRule="auto"/>
        <w:ind w:firstLine="470" w:firstLineChars="196"/>
        <w:textAlignment w:val="auto"/>
        <w:rPr>
          <w:rFonts w:hint="eastAsia" w:ascii="宋体" w:hAnsi="宋体" w:eastAsia="宋体" w:cs="宋体"/>
          <w:bCs/>
          <w:color w:val="000000"/>
          <w:sz w:val="24"/>
          <w:highlight w:val="none"/>
        </w:rPr>
      </w:pPr>
      <w:r>
        <w:rPr>
          <w:rFonts w:hint="eastAsia" w:ascii="宋体" w:hAnsi="宋体" w:eastAsia="宋体" w:cs="宋体"/>
          <w:color w:val="000000"/>
          <w:sz w:val="24"/>
          <w:highlight w:val="none"/>
        </w:rPr>
        <w:t>群体工程应附《承包人承揽工程项目一览表》（附件1）。</w:t>
      </w:r>
    </w:p>
    <w:p w14:paraId="31C00EBC">
      <w:pPr>
        <w:keepLines w:val="0"/>
        <w:pageBreakBefore w:val="0"/>
        <w:widowControl w:val="0"/>
        <w:kinsoku/>
        <w:wordWrap/>
        <w:overflowPunct/>
        <w:topLinePunct w:val="0"/>
        <w:bidi w:val="0"/>
        <w:snapToGrid/>
        <w:spacing w:line="360" w:lineRule="auto"/>
        <w:ind w:firstLine="470" w:firstLineChars="196"/>
        <w:textAlignment w:val="auto"/>
        <w:rPr>
          <w:rFonts w:hint="eastAsia" w:ascii="宋体" w:hAnsi="宋体" w:eastAsia="宋体" w:cs="宋体"/>
          <w:b/>
          <w:color w:val="000000"/>
          <w:sz w:val="24"/>
          <w:highlight w:val="none"/>
        </w:rPr>
      </w:pPr>
      <w:r>
        <w:rPr>
          <w:rFonts w:hint="eastAsia" w:ascii="宋体" w:hAnsi="宋体" w:eastAsia="宋体" w:cs="宋体"/>
          <w:bCs/>
          <w:color w:val="000000"/>
          <w:sz w:val="24"/>
          <w:highlight w:val="none"/>
        </w:rPr>
        <w:t>6.工程承包范围：</w:t>
      </w:r>
      <w:r>
        <w:rPr>
          <w:rFonts w:hint="eastAsia" w:ascii="宋体" w:hAnsi="宋体" w:eastAsia="宋体" w:cs="宋体"/>
          <w:bCs/>
          <w:color w:val="000000"/>
          <w:sz w:val="24"/>
          <w:highlight w:val="none"/>
          <w:u w:val="single"/>
          <w:lang w:val="en-US" w:eastAsia="zh-CN"/>
        </w:rPr>
        <w:t xml:space="preserve">                                           </w:t>
      </w:r>
      <w:r>
        <w:rPr>
          <w:rFonts w:hint="eastAsia" w:ascii="宋体" w:hAnsi="宋体" w:eastAsia="宋体" w:cs="宋体"/>
          <w:color w:val="000000"/>
          <w:sz w:val="24"/>
          <w:highlight w:val="none"/>
        </w:rPr>
        <w:t>。</w:t>
      </w:r>
      <w:bookmarkStart w:id="265" w:name="_Toc351203482"/>
    </w:p>
    <w:p w14:paraId="15F0047D">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二、合同工期</w:t>
      </w:r>
      <w:bookmarkEnd w:id="265"/>
    </w:p>
    <w:p w14:paraId="23BF1CF7">
      <w:pPr>
        <w:keepLines w:val="0"/>
        <w:pageBreakBefore w:val="0"/>
        <w:widowControl w:val="0"/>
        <w:kinsoku/>
        <w:wordWrap/>
        <w:overflowPunct/>
        <w:topLinePunct w:val="0"/>
        <w:bidi w:val="0"/>
        <w:snapToGrid/>
        <w:spacing w:line="360" w:lineRule="auto"/>
        <w:ind w:firstLine="459"/>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计划开工日期：</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none"/>
        </w:rPr>
        <w:t>日</w:t>
      </w:r>
      <w:r>
        <w:rPr>
          <w:rFonts w:hint="eastAsia" w:ascii="宋体" w:hAnsi="宋体" w:eastAsia="宋体" w:cs="宋体"/>
          <w:color w:val="000000"/>
          <w:sz w:val="24"/>
          <w:highlight w:val="none"/>
        </w:rPr>
        <w:t>。</w:t>
      </w:r>
    </w:p>
    <w:p w14:paraId="47A072DA">
      <w:pPr>
        <w:keepLines w:val="0"/>
        <w:pageBreakBefore w:val="0"/>
        <w:widowControl w:val="0"/>
        <w:kinsoku/>
        <w:wordWrap/>
        <w:overflowPunct/>
        <w:topLinePunct w:val="0"/>
        <w:bidi w:val="0"/>
        <w:snapToGrid/>
        <w:spacing w:line="360" w:lineRule="auto"/>
        <w:ind w:firstLine="459"/>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计划竣工日期：</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none"/>
        </w:rPr>
        <w:t>日</w:t>
      </w:r>
      <w:r>
        <w:rPr>
          <w:rFonts w:hint="eastAsia" w:ascii="宋体" w:hAnsi="宋体" w:eastAsia="宋体" w:cs="宋体"/>
          <w:color w:val="000000"/>
          <w:sz w:val="24"/>
          <w:highlight w:val="none"/>
        </w:rPr>
        <w:t>。</w:t>
      </w:r>
    </w:p>
    <w:p w14:paraId="5CA61C2F">
      <w:pPr>
        <w:keepLines w:val="0"/>
        <w:pageBreakBefore w:val="0"/>
        <w:widowControl w:val="0"/>
        <w:kinsoku/>
        <w:wordWrap/>
        <w:overflowPunct/>
        <w:topLinePunct w:val="0"/>
        <w:bidi w:val="0"/>
        <w:snapToGrid/>
        <w:spacing w:line="360" w:lineRule="auto"/>
        <w:ind w:firstLine="459"/>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工期总日历天数：</w:t>
      </w:r>
      <w:r>
        <w:rPr>
          <w:rFonts w:hint="eastAsia" w:ascii="宋体" w:hAnsi="宋体" w:eastAsia="宋体" w:cs="宋体"/>
          <w:color w:val="000000"/>
          <w:sz w:val="24"/>
          <w:highlight w:val="none"/>
          <w:u w:val="single"/>
          <w:lang w:val="en-US" w:eastAsia="zh-CN"/>
        </w:rPr>
        <w:t xml:space="preserve">  40  </w:t>
      </w:r>
      <w:r>
        <w:rPr>
          <w:rFonts w:hint="eastAsia" w:ascii="宋体" w:hAnsi="宋体" w:eastAsia="宋体" w:cs="宋体"/>
          <w:color w:val="000000"/>
          <w:sz w:val="24"/>
          <w:highlight w:val="none"/>
          <w:u w:val="none"/>
          <w:lang w:val="en-US" w:eastAsia="zh-CN"/>
        </w:rPr>
        <w:t>日</w:t>
      </w:r>
      <w:r>
        <w:rPr>
          <w:rFonts w:hint="eastAsia" w:ascii="宋体" w:hAnsi="宋体" w:eastAsia="宋体" w:cs="宋体"/>
          <w:color w:val="000000"/>
          <w:sz w:val="24"/>
          <w:highlight w:val="none"/>
          <w:u w:val="none"/>
        </w:rPr>
        <w:t>历天</w:t>
      </w:r>
      <w:r>
        <w:rPr>
          <w:rFonts w:hint="eastAsia" w:ascii="宋体" w:hAnsi="宋体" w:eastAsia="宋体" w:cs="宋体"/>
          <w:color w:val="000000"/>
          <w:sz w:val="24"/>
          <w:highlight w:val="none"/>
        </w:rPr>
        <w:t>。工期总日历天数与根据前述计划开竣工日期计算的工期天数不一致的，以工期总日历天数为准。</w:t>
      </w:r>
    </w:p>
    <w:p w14:paraId="59566381">
      <w:pPr>
        <w:keepLines w:val="0"/>
        <w:pageBreakBefore w:val="0"/>
        <w:widowControl w:val="0"/>
        <w:numPr>
          <w:ilvl w:val="0"/>
          <w:numId w:val="2"/>
        </w:numPr>
        <w:kinsoku/>
        <w:wordWrap/>
        <w:overflowPunct/>
        <w:topLinePunct w:val="0"/>
        <w:bidi w:val="0"/>
        <w:snapToGrid/>
        <w:spacing w:line="360" w:lineRule="auto"/>
        <w:textAlignment w:val="auto"/>
        <w:rPr>
          <w:rFonts w:hint="eastAsia" w:ascii="宋体" w:hAnsi="宋体" w:eastAsia="宋体" w:cs="宋体"/>
          <w:bCs/>
          <w:color w:val="000000"/>
          <w:sz w:val="24"/>
          <w:highlight w:val="none"/>
          <w:u w:val="single"/>
        </w:rPr>
      </w:pPr>
      <w:bookmarkStart w:id="266" w:name="_Toc351203483"/>
      <w:r>
        <w:rPr>
          <w:rFonts w:hint="eastAsia" w:ascii="宋体" w:hAnsi="宋体" w:eastAsia="宋体" w:cs="宋体"/>
          <w:b/>
          <w:color w:val="000000"/>
          <w:sz w:val="24"/>
          <w:highlight w:val="none"/>
        </w:rPr>
        <w:t>质量标准</w:t>
      </w:r>
      <w:bookmarkEnd w:id="266"/>
      <w:r>
        <w:rPr>
          <w:rFonts w:hint="eastAsia" w:ascii="宋体" w:hAnsi="宋体" w:eastAsia="宋体" w:cs="宋体"/>
          <w:b/>
          <w:color w:val="000000"/>
          <w:sz w:val="24"/>
          <w:highlight w:val="none"/>
          <w:lang w:eastAsia="zh-CN"/>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p w14:paraId="2D61BD56">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bCs/>
          <w:color w:val="000000"/>
          <w:sz w:val="24"/>
          <w:highlight w:val="none"/>
        </w:rPr>
      </w:pPr>
      <w:r>
        <w:rPr>
          <w:rFonts w:hint="eastAsia" w:ascii="宋体" w:hAnsi="宋体" w:eastAsia="宋体" w:cs="宋体"/>
          <w:b/>
          <w:color w:val="000000"/>
          <w:sz w:val="24"/>
          <w:highlight w:val="none"/>
        </w:rPr>
        <w:t>四、签约合同价与合同价格形式</w:t>
      </w:r>
      <w:r>
        <w:rPr>
          <w:rFonts w:hint="eastAsia" w:ascii="宋体" w:hAnsi="宋体" w:eastAsia="宋体" w:cs="宋体"/>
          <w:b/>
          <w:color w:val="000000"/>
          <w:sz w:val="24"/>
          <w:highlight w:val="none"/>
        </w:rPr>
        <w:tab/>
      </w:r>
    </w:p>
    <w:p w14:paraId="44816819">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1.签约合同价为：</w:t>
      </w:r>
      <w:r>
        <w:rPr>
          <w:rFonts w:hint="eastAsia" w:ascii="宋体" w:hAnsi="宋体" w:eastAsia="宋体" w:cs="宋体"/>
          <w:color w:val="000000"/>
          <w:sz w:val="24"/>
          <w:highlight w:val="none"/>
          <w:u w:val="single"/>
        </w:rPr>
        <w:t xml:space="preserve">                </w:t>
      </w:r>
    </w:p>
    <w:p w14:paraId="58EE0960">
      <w:pPr>
        <w:keepLines w:val="0"/>
        <w:pageBreakBefore w:val="0"/>
        <w:widowControl w:val="0"/>
        <w:kinsoku/>
        <w:wordWrap/>
        <w:overflowPunct/>
        <w:topLinePunct w:val="0"/>
        <w:bidi w:val="0"/>
        <w:snapToGrid/>
        <w:spacing w:line="360" w:lineRule="auto"/>
        <w:ind w:firstLine="600" w:firstLineChars="25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人民币（大写）</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元)；</w:t>
      </w:r>
    </w:p>
    <w:p w14:paraId="73A1864B">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其中：</w:t>
      </w:r>
    </w:p>
    <w:p w14:paraId="3D3537AD">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（1）安全文明施工费：         </w:t>
      </w:r>
    </w:p>
    <w:p w14:paraId="21B30229">
      <w:pPr>
        <w:keepLines w:val="0"/>
        <w:pageBreakBefore w:val="0"/>
        <w:widowControl w:val="0"/>
        <w:kinsoku/>
        <w:wordWrap/>
        <w:overflowPunct/>
        <w:topLinePunct w:val="0"/>
        <w:bidi w:val="0"/>
        <w:snapToGrid/>
        <w:spacing w:line="360" w:lineRule="auto"/>
        <w:ind w:firstLine="1080" w:firstLineChars="45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人民币（大写）</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元)；</w:t>
      </w:r>
    </w:p>
    <w:p w14:paraId="41DCF173">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（2）材料和工程设备暂估价金额：</w:t>
      </w:r>
    </w:p>
    <w:p w14:paraId="1679E5F6">
      <w:pPr>
        <w:keepLines w:val="0"/>
        <w:pageBreakBefore w:val="0"/>
        <w:widowControl w:val="0"/>
        <w:kinsoku/>
        <w:wordWrap/>
        <w:overflowPunct/>
        <w:topLinePunct w:val="0"/>
        <w:bidi w:val="0"/>
        <w:snapToGrid/>
        <w:spacing w:line="360" w:lineRule="auto"/>
        <w:ind w:firstLine="1080" w:firstLineChars="45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人民币（大写）</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元)；</w:t>
      </w:r>
    </w:p>
    <w:p w14:paraId="3B8D9EDE">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（3）专业工程暂估价金额：</w:t>
      </w:r>
    </w:p>
    <w:p w14:paraId="6EE8F62F">
      <w:pPr>
        <w:keepLines w:val="0"/>
        <w:pageBreakBefore w:val="0"/>
        <w:widowControl w:val="0"/>
        <w:kinsoku/>
        <w:wordWrap/>
        <w:overflowPunct/>
        <w:topLinePunct w:val="0"/>
        <w:bidi w:val="0"/>
        <w:snapToGrid/>
        <w:spacing w:line="360" w:lineRule="auto"/>
        <w:ind w:firstLine="1080" w:firstLineChars="45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人民币（大写） (¥元)；</w:t>
      </w:r>
    </w:p>
    <w:p w14:paraId="585D58B2">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（4）暂列金额：</w:t>
      </w:r>
    </w:p>
    <w:p w14:paraId="634FB5D1">
      <w:pPr>
        <w:keepLines w:val="0"/>
        <w:pageBreakBefore w:val="0"/>
        <w:widowControl w:val="0"/>
        <w:kinsoku/>
        <w:wordWrap/>
        <w:overflowPunct/>
        <w:topLinePunct w:val="0"/>
        <w:bidi w:val="0"/>
        <w:snapToGrid/>
        <w:spacing w:line="360" w:lineRule="auto"/>
        <w:ind w:firstLine="1080" w:firstLineChars="45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人民币（大写） (¥元)。</w:t>
      </w:r>
    </w:p>
    <w:p w14:paraId="392FDFC8">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2.合同价格形式：</w:t>
      </w:r>
      <w:r>
        <w:rPr>
          <w:rFonts w:hint="eastAsia" w:ascii="宋体" w:hAnsi="宋体" w:eastAsia="宋体" w:cs="宋体"/>
          <w:color w:val="000000"/>
          <w:sz w:val="24"/>
          <w:highlight w:val="none"/>
          <w:u w:val="single"/>
        </w:rPr>
        <w:t></w:t>
      </w:r>
      <w:r>
        <w:rPr>
          <w:rFonts w:hint="eastAsia" w:ascii="宋体" w:hAnsi="宋体" w:eastAsia="宋体" w:cs="宋体"/>
          <w:b/>
          <w:color w:val="auto"/>
          <w:sz w:val="24"/>
          <w:highlight w:val="none"/>
          <w:u w:val="single"/>
          <w:lang w:val="en-US" w:eastAsia="zh-CN"/>
        </w:rPr>
        <w:t xml:space="preserve"> 固定单价合同 </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rPr>
        <w:t>。</w:t>
      </w:r>
    </w:p>
    <w:p w14:paraId="341E2B31">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b/>
          <w:color w:val="000000"/>
          <w:sz w:val="24"/>
          <w:highlight w:val="none"/>
        </w:rPr>
      </w:pPr>
      <w:bookmarkStart w:id="267" w:name="_Toc351203485"/>
      <w:r>
        <w:rPr>
          <w:rFonts w:hint="eastAsia" w:ascii="宋体" w:hAnsi="宋体" w:eastAsia="宋体" w:cs="宋体"/>
          <w:b/>
          <w:color w:val="000000"/>
          <w:sz w:val="24"/>
          <w:highlight w:val="none"/>
        </w:rPr>
        <w:t>五、</w:t>
      </w:r>
      <w:bookmarkEnd w:id="267"/>
      <w:r>
        <w:rPr>
          <w:rFonts w:hint="eastAsia" w:ascii="宋体" w:hAnsi="宋体" w:eastAsia="宋体" w:cs="宋体"/>
          <w:b/>
          <w:color w:val="000000"/>
          <w:sz w:val="24"/>
          <w:highlight w:val="none"/>
        </w:rPr>
        <w:t>项目经理</w:t>
      </w:r>
    </w:p>
    <w:p w14:paraId="7B5E67A1">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承包人项目经理：</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14:paraId="18E69392">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b/>
          <w:color w:val="000000"/>
          <w:sz w:val="24"/>
          <w:highlight w:val="none"/>
        </w:rPr>
      </w:pPr>
      <w:bookmarkStart w:id="268" w:name="_Toc351203486"/>
      <w:r>
        <w:rPr>
          <w:rFonts w:hint="eastAsia" w:ascii="宋体" w:hAnsi="宋体" w:eastAsia="宋体" w:cs="宋体"/>
          <w:b/>
          <w:color w:val="000000"/>
          <w:sz w:val="24"/>
          <w:highlight w:val="none"/>
        </w:rPr>
        <w:t>六、合同文件构成</w:t>
      </w:r>
      <w:bookmarkEnd w:id="268"/>
    </w:p>
    <w:p w14:paraId="6888CB96">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本协议书与下列文件一起构成合同文件：</w:t>
      </w:r>
    </w:p>
    <w:p w14:paraId="62328996">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r>
        <w:rPr>
          <w:rFonts w:hint="eastAsia" w:ascii="宋体" w:hAnsi="宋体" w:eastAsia="宋体" w:cs="宋体"/>
          <w:color w:val="000000"/>
          <w:sz w:val="24"/>
          <w:highlight w:val="none"/>
          <w:lang w:val="en-US" w:eastAsia="zh-CN"/>
        </w:rPr>
        <w:t>成交</w:t>
      </w:r>
      <w:r>
        <w:rPr>
          <w:rFonts w:hint="eastAsia" w:ascii="宋体" w:hAnsi="宋体" w:eastAsia="宋体" w:cs="宋体"/>
          <w:color w:val="000000"/>
          <w:sz w:val="24"/>
          <w:highlight w:val="none"/>
        </w:rPr>
        <w:t>通知书（如有）；</w:t>
      </w:r>
    </w:p>
    <w:p w14:paraId="32C22A2D">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（2）报价函及报价函附录（如有）； </w:t>
      </w:r>
    </w:p>
    <w:p w14:paraId="0215E116">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（3）专用合同条款及其附件；</w:t>
      </w:r>
    </w:p>
    <w:p w14:paraId="7576BFF5">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（4）通用合同条款；</w:t>
      </w:r>
    </w:p>
    <w:p w14:paraId="03C33F98">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（5）技术标准和要求；</w:t>
      </w:r>
    </w:p>
    <w:p w14:paraId="45F0E17D">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（6）图纸；</w:t>
      </w:r>
    </w:p>
    <w:p w14:paraId="3FE08AEB">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（7）已标价工程量清单或预算书；</w:t>
      </w:r>
    </w:p>
    <w:p w14:paraId="077150FA">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（8）其他合同文件。</w:t>
      </w:r>
    </w:p>
    <w:p w14:paraId="604994F3">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在合同订立及履行过程中形成的与合同有关的文件均构成合同文件组成部分。</w:t>
      </w:r>
    </w:p>
    <w:p w14:paraId="173F420B">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上述各项合同文件包括合同当事人就该项合同文件所作出的补充和修改，属于同一类内容的文件，应以最新签署的为准。专用合同条款及其附件须经合同当事人签字或盖章。</w:t>
      </w:r>
    </w:p>
    <w:p w14:paraId="639E75EA">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
          <w:bCs w:val="0"/>
          <w:color w:val="000000"/>
          <w:sz w:val="24"/>
          <w:highlight w:val="none"/>
        </w:rPr>
      </w:pPr>
      <w:bookmarkStart w:id="269" w:name="_Toc351203487"/>
      <w:r>
        <w:rPr>
          <w:rFonts w:hint="eastAsia" w:ascii="宋体" w:hAnsi="宋体" w:eastAsia="宋体" w:cs="宋体"/>
          <w:b/>
          <w:bCs w:val="0"/>
          <w:color w:val="000000"/>
          <w:sz w:val="24"/>
          <w:highlight w:val="none"/>
        </w:rPr>
        <w:t>七、承诺</w:t>
      </w:r>
      <w:bookmarkEnd w:id="269"/>
    </w:p>
    <w:p w14:paraId="1533F55E">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1.发包人承诺按照法律规定履行项目审批手续、筹集工程建设资金并按照合同约定的期限和方式支付合同价款。</w:t>
      </w:r>
    </w:p>
    <w:p w14:paraId="07391378">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2.承包人承诺按照法律规定及合同约定组织完成工程施工，确保工程质量和安全，不进行转包及违法分包，并在缺陷责任期及保修期内承担相应的工程维修责任。</w:t>
      </w:r>
    </w:p>
    <w:p w14:paraId="089C93B6">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3.发包人和承包人通过招投标形式签订合同的，双方理解并承诺不再就同一工程另行签订与合同实质性内容相背离的协议。</w:t>
      </w:r>
    </w:p>
    <w:p w14:paraId="2E7F5A1D">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bCs/>
          <w:color w:val="000000"/>
          <w:sz w:val="24"/>
          <w:highlight w:val="none"/>
        </w:rPr>
      </w:pPr>
      <w:bookmarkStart w:id="270" w:name="_Toc351203488"/>
      <w:r>
        <w:rPr>
          <w:rFonts w:hint="eastAsia" w:ascii="宋体" w:hAnsi="宋体" w:eastAsia="宋体" w:cs="宋体"/>
          <w:b/>
          <w:color w:val="000000"/>
          <w:sz w:val="24"/>
          <w:highlight w:val="none"/>
        </w:rPr>
        <w:t>八、词语含义</w:t>
      </w:r>
      <w:bookmarkEnd w:id="270"/>
    </w:p>
    <w:p w14:paraId="405415CF">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本协议书中词语含义与第二部分通用合同条款中赋予的含义相同。</w:t>
      </w:r>
    </w:p>
    <w:p w14:paraId="7FDF7AF5">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b/>
          <w:color w:val="000000"/>
          <w:sz w:val="24"/>
          <w:highlight w:val="none"/>
        </w:rPr>
      </w:pPr>
      <w:bookmarkStart w:id="271" w:name="_Toc351203489"/>
      <w:r>
        <w:rPr>
          <w:rFonts w:hint="eastAsia" w:ascii="宋体" w:hAnsi="宋体" w:eastAsia="宋体" w:cs="宋体"/>
          <w:b/>
          <w:color w:val="000000"/>
          <w:sz w:val="24"/>
          <w:highlight w:val="none"/>
        </w:rPr>
        <w:t>九、签订时间</w:t>
      </w:r>
      <w:bookmarkEnd w:id="271"/>
    </w:p>
    <w:p w14:paraId="7D0978C0">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本合同于</w:t>
      </w:r>
      <w:r>
        <w:rPr>
          <w:rFonts w:hint="eastAsia" w:ascii="宋体" w:hAnsi="宋体" w:eastAsia="宋体" w:cs="宋体"/>
          <w:bCs/>
          <w:color w:val="000000"/>
          <w:sz w:val="24"/>
          <w:highlight w:val="none"/>
          <w:u w:val="single"/>
          <w:lang w:val="en-US" w:eastAsia="zh-CN"/>
        </w:rPr>
        <w:t xml:space="preserve">     </w:t>
      </w:r>
      <w:r>
        <w:rPr>
          <w:rFonts w:hint="eastAsia" w:ascii="宋体" w:hAnsi="宋体" w:eastAsia="宋体" w:cs="宋体"/>
          <w:bCs/>
          <w:color w:val="000000"/>
          <w:sz w:val="24"/>
          <w:highlight w:val="none"/>
        </w:rPr>
        <w:t>年</w:t>
      </w:r>
      <w:r>
        <w:rPr>
          <w:rFonts w:hint="eastAsia" w:ascii="宋体" w:hAnsi="宋体" w:eastAsia="宋体" w:cs="宋体"/>
          <w:bCs/>
          <w:color w:val="000000"/>
          <w:sz w:val="24"/>
          <w:highlight w:val="none"/>
          <w:u w:val="single"/>
          <w:lang w:val="en-US" w:eastAsia="zh-CN"/>
        </w:rPr>
        <w:t xml:space="preserve">   </w:t>
      </w:r>
      <w:r>
        <w:rPr>
          <w:rFonts w:hint="eastAsia" w:ascii="宋体" w:hAnsi="宋体" w:eastAsia="宋体" w:cs="宋体"/>
          <w:bCs/>
          <w:color w:val="000000"/>
          <w:sz w:val="24"/>
          <w:highlight w:val="none"/>
        </w:rPr>
        <w:t>月</w:t>
      </w:r>
      <w:r>
        <w:rPr>
          <w:rFonts w:hint="eastAsia" w:ascii="宋体" w:hAnsi="宋体" w:eastAsia="宋体" w:cs="宋体"/>
          <w:bCs/>
          <w:color w:val="000000"/>
          <w:sz w:val="24"/>
          <w:highlight w:val="none"/>
          <w:u w:val="single"/>
          <w:lang w:val="en-US" w:eastAsia="zh-CN"/>
        </w:rPr>
        <w:t xml:space="preserve">    </w:t>
      </w:r>
      <w:r>
        <w:rPr>
          <w:rFonts w:hint="eastAsia" w:ascii="宋体" w:hAnsi="宋体" w:eastAsia="宋体" w:cs="宋体"/>
          <w:bCs/>
          <w:color w:val="000000"/>
          <w:sz w:val="24"/>
          <w:highlight w:val="none"/>
        </w:rPr>
        <w:t>日签订。</w:t>
      </w:r>
    </w:p>
    <w:p w14:paraId="21B97070">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b/>
          <w:color w:val="000000"/>
          <w:sz w:val="24"/>
          <w:highlight w:val="none"/>
        </w:rPr>
      </w:pPr>
      <w:bookmarkStart w:id="272" w:name="_Toc351203490"/>
      <w:r>
        <w:rPr>
          <w:rFonts w:hint="eastAsia" w:ascii="宋体" w:hAnsi="宋体" w:eastAsia="宋体" w:cs="宋体"/>
          <w:b/>
          <w:color w:val="000000"/>
          <w:sz w:val="24"/>
          <w:highlight w:val="none"/>
        </w:rPr>
        <w:t>十、签订地点</w:t>
      </w:r>
      <w:bookmarkEnd w:id="272"/>
    </w:p>
    <w:p w14:paraId="6F1BF6A2">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本合同在</w:t>
      </w:r>
      <w:r>
        <w:rPr>
          <w:rFonts w:hint="eastAsia" w:ascii="宋体" w:hAnsi="宋体" w:eastAsia="宋体" w:cs="宋体"/>
          <w:bCs/>
          <w:color w:val="000000"/>
          <w:sz w:val="24"/>
          <w:highlight w:val="none"/>
          <w:u w:val="single"/>
          <w:lang w:val="en-US" w:eastAsia="zh-CN"/>
        </w:rPr>
        <w:t xml:space="preserve">            </w:t>
      </w:r>
      <w:r>
        <w:rPr>
          <w:rFonts w:hint="eastAsia" w:ascii="宋体" w:hAnsi="宋体" w:eastAsia="宋体" w:cs="宋体"/>
          <w:bCs/>
          <w:color w:val="000000"/>
          <w:sz w:val="24"/>
          <w:highlight w:val="none"/>
        </w:rPr>
        <w:t>签订。</w:t>
      </w:r>
    </w:p>
    <w:p w14:paraId="56DDA837">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b/>
          <w:color w:val="000000"/>
          <w:sz w:val="24"/>
          <w:highlight w:val="none"/>
        </w:rPr>
      </w:pPr>
      <w:bookmarkStart w:id="273" w:name="_Toc351203491"/>
      <w:r>
        <w:rPr>
          <w:rFonts w:hint="eastAsia" w:ascii="宋体" w:hAnsi="宋体" w:eastAsia="宋体" w:cs="宋体"/>
          <w:b/>
          <w:color w:val="000000"/>
          <w:sz w:val="24"/>
          <w:highlight w:val="none"/>
        </w:rPr>
        <w:t>十一、补充协议</w:t>
      </w:r>
      <w:bookmarkEnd w:id="273"/>
    </w:p>
    <w:p w14:paraId="28D66BF5">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bCs/>
          <w:color w:val="000000"/>
          <w:sz w:val="24"/>
          <w:highlight w:val="none"/>
        </w:rPr>
      </w:pPr>
      <w:r>
        <w:rPr>
          <w:rFonts w:hint="eastAsia" w:ascii="宋体" w:hAnsi="宋体" w:eastAsia="宋体" w:cs="宋体"/>
          <w:bCs/>
          <w:color w:val="000000"/>
          <w:sz w:val="24"/>
          <w:highlight w:val="none"/>
        </w:rPr>
        <w:t>合同未尽事宜，合同当事人另行签订补充协议，补充协议是合同的组成部分。</w:t>
      </w:r>
    </w:p>
    <w:p w14:paraId="2E41F0C7">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b/>
          <w:color w:val="000000"/>
          <w:sz w:val="24"/>
          <w:highlight w:val="none"/>
        </w:rPr>
      </w:pPr>
      <w:bookmarkStart w:id="274" w:name="_Toc351203492"/>
      <w:r>
        <w:rPr>
          <w:rFonts w:hint="eastAsia" w:ascii="宋体" w:hAnsi="宋体" w:eastAsia="宋体" w:cs="宋体"/>
          <w:b/>
          <w:color w:val="000000"/>
          <w:sz w:val="24"/>
          <w:highlight w:val="none"/>
        </w:rPr>
        <w:t>十二、合同生效</w:t>
      </w:r>
      <w:bookmarkEnd w:id="274"/>
    </w:p>
    <w:p w14:paraId="70FB2888">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本合同自生效。</w:t>
      </w:r>
    </w:p>
    <w:p w14:paraId="55E5579F">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bCs/>
          <w:color w:val="000000"/>
          <w:sz w:val="24"/>
          <w:highlight w:val="none"/>
        </w:rPr>
      </w:pPr>
      <w:bookmarkStart w:id="275" w:name="_Toc351203493"/>
      <w:r>
        <w:rPr>
          <w:rFonts w:hint="eastAsia" w:ascii="宋体" w:hAnsi="宋体" w:eastAsia="宋体" w:cs="宋体"/>
          <w:b/>
          <w:color w:val="000000"/>
          <w:sz w:val="24"/>
          <w:highlight w:val="none"/>
        </w:rPr>
        <w:t>十三、合同份数</w:t>
      </w:r>
      <w:bookmarkEnd w:id="275"/>
    </w:p>
    <w:p w14:paraId="25363DC7">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本合同一式份，均具有同等法律效力，发包人执份，承包人执份。</w:t>
      </w:r>
    </w:p>
    <w:p w14:paraId="1C0AF22C">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rPr>
        <w:t>(公章)</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承包人：</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(公章)</w:t>
      </w:r>
    </w:p>
    <w:p w14:paraId="616CB929">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法定代表人或其委托代理人：</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（签字）</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法定代表人或其委托代理人：</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 xml:space="preserve">（签字）                    </w:t>
      </w:r>
      <w:r>
        <w:rPr>
          <w:rFonts w:hint="eastAsia" w:ascii="宋体" w:hAnsi="宋体" w:eastAsia="宋体" w:cs="宋体"/>
          <w:color w:val="000000"/>
          <w:sz w:val="24"/>
          <w:highlight w:val="none"/>
          <w:lang w:val="en-US" w:eastAsia="zh-CN"/>
        </w:rPr>
        <w:t xml:space="preserve">    </w:t>
      </w:r>
    </w:p>
    <w:p w14:paraId="3D99A763">
      <w:pPr>
        <w:keepLines w:val="0"/>
        <w:pageBreakBefore w:val="0"/>
        <w:widowControl w:val="0"/>
        <w:tabs>
          <w:tab w:val="left" w:pos="4410"/>
        </w:tabs>
        <w:kinsoku/>
        <w:wordWrap/>
        <w:overflowPunct/>
        <w:topLinePunct w:val="0"/>
        <w:bidi w:val="0"/>
        <w:snapToGrid/>
        <w:spacing w:line="360" w:lineRule="auto"/>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组织机构代码：</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none"/>
          <w:lang w:val="en-US" w:eastAsia="zh-CN"/>
        </w:rPr>
        <w:t xml:space="preserve">       </w:t>
      </w:r>
      <w:r>
        <w:rPr>
          <w:rFonts w:hint="eastAsia" w:ascii="宋体" w:hAnsi="宋体" w:eastAsia="宋体" w:cs="宋体"/>
          <w:color w:val="000000"/>
          <w:sz w:val="24"/>
          <w:highlight w:val="none"/>
        </w:rPr>
        <w:t>组织机构代码：</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p>
    <w:p w14:paraId="76F6F737">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地  址：</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地  址：</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p>
    <w:p w14:paraId="21457EDE">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邮政编码：</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邮政编码：</w:t>
      </w:r>
      <w:r>
        <w:rPr>
          <w:rFonts w:hint="eastAsia" w:ascii="宋体" w:hAnsi="宋体" w:eastAsia="宋体" w:cs="宋体"/>
          <w:color w:val="000000"/>
          <w:sz w:val="24"/>
          <w:highlight w:val="none"/>
          <w:u w:val="single"/>
        </w:rPr>
        <w:t xml:space="preserve">   </w:t>
      </w:r>
    </w:p>
    <w:p w14:paraId="1F5D2A75">
      <w:pPr>
        <w:keepLines w:val="0"/>
        <w:pageBreakBefore w:val="0"/>
        <w:widowControl w:val="0"/>
        <w:kinsoku/>
        <w:wordWrap/>
        <w:overflowPunct/>
        <w:topLinePunct w:val="0"/>
        <w:bidi w:val="0"/>
        <w:snapToGrid/>
        <w:spacing w:line="360" w:lineRule="auto"/>
        <w:textAlignment w:val="auto"/>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rPr>
        <w:t>法定代表人：</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法定代表人：</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u w:val="single"/>
          <w:lang w:val="en-US" w:eastAsia="zh-CN"/>
        </w:rPr>
        <w:t xml:space="preserve">             </w:t>
      </w:r>
    </w:p>
    <w:p w14:paraId="498CBBC9">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委托代理人：</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委托代理人：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p>
    <w:p w14:paraId="6B6F134F">
      <w:pPr>
        <w:keepLines w:val="0"/>
        <w:pageBreakBefore w:val="0"/>
        <w:widowControl w:val="0"/>
        <w:kinsoku/>
        <w:wordWrap/>
        <w:overflowPunct/>
        <w:topLinePunct w:val="0"/>
        <w:bidi w:val="0"/>
        <w:snapToGrid/>
        <w:spacing w:line="360" w:lineRule="auto"/>
        <w:textAlignment w:val="auto"/>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rPr>
        <w:t>电  话：</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电  话：</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u w:val="single"/>
          <w:lang w:val="en-US" w:eastAsia="zh-CN"/>
        </w:rPr>
        <w:t xml:space="preserve">     </w:t>
      </w:r>
    </w:p>
    <w:p w14:paraId="3DC09015">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传  真：</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传  真：</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p>
    <w:p w14:paraId="5A9BDFBB">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电子信箱：</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电子信箱：</w:t>
      </w:r>
      <w:r>
        <w:rPr>
          <w:rFonts w:hint="eastAsia" w:ascii="宋体" w:hAnsi="宋体" w:eastAsia="宋体" w:cs="宋体"/>
          <w:color w:val="000000"/>
          <w:sz w:val="24"/>
          <w:highlight w:val="none"/>
          <w:u w:val="single"/>
        </w:rPr>
        <w:t xml:space="preserve">   </w:t>
      </w:r>
    </w:p>
    <w:p w14:paraId="669D65B6">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开户银行：</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开户银行：</w:t>
      </w:r>
      <w:r>
        <w:rPr>
          <w:rFonts w:hint="eastAsia" w:ascii="宋体" w:hAnsi="宋体" w:eastAsia="宋体" w:cs="宋体"/>
          <w:color w:val="000000"/>
          <w:sz w:val="24"/>
          <w:highlight w:val="none"/>
          <w:u w:val="single"/>
        </w:rPr>
        <w:t xml:space="preserve">   </w:t>
      </w:r>
    </w:p>
    <w:p w14:paraId="14076DDF">
      <w:pPr>
        <w:keepLines w:val="0"/>
        <w:pageBreakBefore w:val="0"/>
        <w:widowControl w:val="0"/>
        <w:kinsoku/>
        <w:wordWrap/>
        <w:overflowPunct/>
        <w:topLinePunct w:val="0"/>
        <w:bidi w:val="0"/>
        <w:snapToGrid/>
        <w:spacing w:line="360" w:lineRule="auto"/>
        <w:textAlignment w:val="auto"/>
        <w:rPr>
          <w:rFonts w:hint="default" w:ascii="宋体" w:hAnsi="宋体" w:eastAsia="宋体" w:cs="宋体"/>
          <w:color w:val="000000"/>
          <w:sz w:val="24"/>
          <w:highlight w:val="none"/>
          <w:u w:val="single"/>
          <w:lang w:val="en-US" w:eastAsia="zh-CN"/>
        </w:rPr>
      </w:pPr>
      <w:r>
        <w:rPr>
          <w:rFonts w:hint="eastAsia" w:ascii="宋体" w:hAnsi="宋体" w:eastAsia="宋体" w:cs="宋体"/>
          <w:color w:val="000000"/>
          <w:sz w:val="24"/>
          <w:highlight w:val="none"/>
        </w:rPr>
        <w:t>账  号：</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账 号：</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u w:val="single"/>
          <w:lang w:val="en-US" w:eastAsia="zh-CN"/>
        </w:rPr>
        <w:t xml:space="preserve">      </w:t>
      </w:r>
    </w:p>
    <w:p w14:paraId="6337024C">
      <w:pPr>
        <w:rPr>
          <w:rFonts w:hint="eastAsia" w:ascii="宋体" w:hAnsi="宋体" w:eastAsia="宋体" w:cs="宋体"/>
          <w:highlight w:val="none"/>
        </w:rPr>
      </w:pPr>
    </w:p>
    <w:p w14:paraId="6CE528AA">
      <w:pPr>
        <w:rPr>
          <w:rFonts w:hint="eastAsia" w:ascii="宋体" w:hAnsi="宋体" w:eastAsia="宋体" w:cs="宋体"/>
          <w:highlight w:val="none"/>
        </w:rPr>
      </w:pPr>
    </w:p>
    <w:p w14:paraId="609014B9">
      <w:pPr>
        <w:rPr>
          <w:rFonts w:hint="eastAsia" w:ascii="宋体" w:hAnsi="宋体" w:eastAsia="宋体" w:cs="宋体"/>
          <w:highlight w:val="none"/>
        </w:rPr>
      </w:pPr>
    </w:p>
    <w:p w14:paraId="5886D219">
      <w:pPr>
        <w:rPr>
          <w:rFonts w:hint="eastAsia" w:ascii="宋体" w:hAnsi="宋体" w:eastAsia="宋体" w:cs="宋体"/>
          <w:highlight w:val="none"/>
        </w:rPr>
      </w:pPr>
    </w:p>
    <w:p w14:paraId="0821D878">
      <w:pPr>
        <w:keepNext/>
        <w:tabs>
          <w:tab w:val="left" w:pos="2940"/>
        </w:tabs>
        <w:ind w:left="2940"/>
        <w:rPr>
          <w:rFonts w:hint="eastAsia" w:ascii="宋体" w:hAnsi="宋体" w:eastAsia="宋体" w:cs="宋体"/>
          <w:b/>
          <w:bCs/>
          <w:sz w:val="24"/>
          <w:highlight w:val="none"/>
        </w:rPr>
      </w:pPr>
    </w:p>
    <w:p w14:paraId="577489D4">
      <w:pPr>
        <w:keepNext/>
        <w:tabs>
          <w:tab w:val="left" w:pos="2940"/>
        </w:tabs>
        <w:ind w:left="2940"/>
        <w:outlineLvl w:val="0"/>
        <w:rPr>
          <w:rFonts w:hint="eastAsia" w:ascii="宋体" w:hAnsi="宋体" w:eastAsia="宋体" w:cs="宋体"/>
          <w:b/>
          <w:bCs/>
          <w:sz w:val="24"/>
          <w:highlight w:val="none"/>
        </w:rPr>
      </w:pPr>
      <w:r>
        <w:rPr>
          <w:rFonts w:hint="eastAsia" w:ascii="宋体" w:hAnsi="宋体" w:eastAsia="宋体" w:cs="宋体"/>
          <w:b/>
          <w:bCs/>
          <w:sz w:val="24"/>
          <w:highlight w:val="none"/>
        </w:rPr>
        <w:br w:type="page"/>
      </w:r>
      <w:bookmarkStart w:id="276" w:name="_Toc30950"/>
      <w:bookmarkStart w:id="277" w:name="_Toc32175"/>
      <w:bookmarkStart w:id="278" w:name="_Toc21032"/>
      <w:bookmarkStart w:id="279" w:name="_Toc13968"/>
      <w:bookmarkStart w:id="280" w:name="_Toc19170"/>
      <w:bookmarkStart w:id="281" w:name="_Toc14211"/>
      <w:bookmarkStart w:id="282" w:name="_Toc22056"/>
      <w:r>
        <w:rPr>
          <w:rFonts w:hint="eastAsia" w:ascii="宋体" w:hAnsi="宋体" w:eastAsia="宋体" w:cs="宋体"/>
          <w:b/>
          <w:bCs/>
          <w:sz w:val="24"/>
          <w:highlight w:val="none"/>
        </w:rPr>
        <w:t>第二部分 通用合同条款</w:t>
      </w:r>
      <w:bookmarkEnd w:id="276"/>
      <w:bookmarkEnd w:id="277"/>
      <w:bookmarkEnd w:id="278"/>
      <w:bookmarkEnd w:id="279"/>
      <w:bookmarkEnd w:id="280"/>
      <w:bookmarkEnd w:id="281"/>
      <w:bookmarkEnd w:id="282"/>
    </w:p>
    <w:p w14:paraId="77934122">
      <w:pPr>
        <w:rPr>
          <w:rFonts w:hint="eastAsia" w:ascii="宋体" w:hAnsi="宋体" w:eastAsia="宋体" w:cs="宋体"/>
          <w:highlight w:val="none"/>
        </w:rPr>
      </w:pPr>
    </w:p>
    <w:p w14:paraId="4CEF1F28">
      <w:pPr>
        <w:pageBreakBefore w:val="0"/>
        <w:kinsoku/>
        <w:overflowPunct/>
        <w:topLinePunct w:val="0"/>
        <w:bidi w:val="0"/>
        <w:outlineLvl w:val="9"/>
        <w:rPr>
          <w:rFonts w:hint="eastAsia" w:ascii="宋体" w:hAnsi="宋体" w:eastAsia="宋体" w:cs="宋体"/>
          <w:color w:val="auto"/>
          <w:kern w:val="0"/>
          <w:szCs w:val="21"/>
          <w:highlight w:val="none"/>
        </w:rPr>
      </w:pPr>
      <w:r>
        <w:rPr>
          <w:rFonts w:hint="eastAsia" w:ascii="宋体" w:hAnsi="宋体" w:eastAsia="宋体" w:cs="宋体"/>
          <w:sz w:val="24"/>
          <w:highlight w:val="none"/>
        </w:rPr>
        <w:t>使用住房城乡建设部、国家工商行政管理总局印发的</w:t>
      </w:r>
      <w:r>
        <w:rPr>
          <w:rFonts w:hint="eastAsia" w:ascii="宋体" w:hAnsi="宋体" w:eastAsia="宋体" w:cs="宋体"/>
          <w:sz w:val="24"/>
          <w:highlight w:val="none"/>
          <w:lang w:eastAsia="zh-CN"/>
        </w:rPr>
        <w:t>《</w:t>
      </w:r>
      <w:r>
        <w:rPr>
          <w:rFonts w:hint="eastAsia" w:ascii="宋体" w:hAnsi="宋体" w:eastAsia="宋体" w:cs="宋体"/>
          <w:sz w:val="24"/>
          <w:highlight w:val="none"/>
        </w:rPr>
        <w:t>建设工程施工合同(示范文本)》（GF-2017-0201）通用合同条款。</w:t>
      </w:r>
      <w:r>
        <w:rPr>
          <w:rFonts w:hint="eastAsia" w:ascii="宋体" w:hAnsi="宋体" w:eastAsia="宋体" w:cs="宋体"/>
          <w:highlight w:val="none"/>
        </w:rPr>
        <w:br w:type="page"/>
      </w:r>
    </w:p>
    <w:p w14:paraId="19C5A511">
      <w:pPr>
        <w:spacing w:line="360" w:lineRule="auto"/>
        <w:ind w:firstLine="482" w:firstLineChars="200"/>
        <w:jc w:val="center"/>
        <w:rPr>
          <w:rFonts w:hint="eastAsia" w:ascii="宋体" w:hAnsi="宋体" w:eastAsia="宋体" w:cs="宋体"/>
          <w:highlight w:val="none"/>
        </w:rPr>
      </w:pPr>
      <w:bookmarkStart w:id="283" w:name="_Toc351203632"/>
      <w:r>
        <w:rPr>
          <w:rFonts w:hint="eastAsia" w:ascii="宋体" w:hAnsi="宋体" w:eastAsia="宋体" w:cs="宋体"/>
          <w:b/>
          <w:sz w:val="24"/>
          <w:highlight w:val="none"/>
        </w:rPr>
        <w:t>第三部分 专用合同条款</w:t>
      </w:r>
      <w:bookmarkEnd w:id="283"/>
    </w:p>
    <w:p w14:paraId="2CF882E2">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284" w:name="_Toc351203633"/>
      <w:r>
        <w:rPr>
          <w:rFonts w:hint="eastAsia" w:ascii="宋体" w:hAnsi="宋体" w:eastAsia="宋体" w:cs="宋体"/>
          <w:bCs/>
          <w:color w:val="000000"/>
          <w:sz w:val="24"/>
          <w:highlight w:val="none"/>
        </w:rPr>
        <w:t>1</w:t>
      </w:r>
      <w:bookmarkStart w:id="285" w:name="_Toc296503156"/>
      <w:bookmarkStart w:id="286" w:name="_Toc296346657"/>
      <w:bookmarkStart w:id="287" w:name="_Toc292559361"/>
      <w:bookmarkStart w:id="288" w:name="_Toc292559866"/>
      <w:bookmarkStart w:id="289" w:name="_Toc296891196"/>
      <w:bookmarkStart w:id="290" w:name="_Toc297120456"/>
      <w:bookmarkStart w:id="291" w:name="_Toc296944495"/>
      <w:bookmarkStart w:id="292" w:name="_Toc296347155"/>
      <w:bookmarkStart w:id="293" w:name="_Toc297048342"/>
      <w:bookmarkStart w:id="294" w:name="_Toc296890984"/>
      <w:r>
        <w:rPr>
          <w:rFonts w:hint="eastAsia" w:ascii="宋体" w:hAnsi="宋体" w:eastAsia="宋体" w:cs="宋体"/>
          <w:bCs/>
          <w:color w:val="000000"/>
          <w:sz w:val="24"/>
          <w:highlight w:val="none"/>
        </w:rPr>
        <w:t>. 一般约定</w:t>
      </w:r>
      <w:bookmarkEnd w:id="284"/>
    </w:p>
    <w:bookmarkEnd w:id="285"/>
    <w:bookmarkEnd w:id="286"/>
    <w:bookmarkEnd w:id="287"/>
    <w:bookmarkEnd w:id="288"/>
    <w:bookmarkEnd w:id="289"/>
    <w:bookmarkEnd w:id="290"/>
    <w:bookmarkEnd w:id="291"/>
    <w:bookmarkEnd w:id="292"/>
    <w:bookmarkEnd w:id="293"/>
    <w:bookmarkEnd w:id="294"/>
    <w:p w14:paraId="238B8D6D">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295" w:name="_Toc17881"/>
      <w:bookmarkStart w:id="296" w:name="_Toc18784"/>
      <w:bookmarkStart w:id="297" w:name="_Toc6596"/>
      <w:bookmarkStart w:id="298" w:name="_Toc2877"/>
      <w:bookmarkStart w:id="299" w:name="_Toc11497"/>
      <w:bookmarkStart w:id="300" w:name="_Toc25022"/>
      <w:bookmarkStart w:id="301" w:name="_Toc14507"/>
      <w:bookmarkStart w:id="302" w:name="_Toc12640"/>
      <w:r>
        <w:rPr>
          <w:rFonts w:hint="eastAsia" w:ascii="宋体" w:hAnsi="宋体" w:eastAsia="宋体" w:cs="宋体"/>
          <w:color w:val="000000"/>
          <w:sz w:val="24"/>
          <w:highlight w:val="none"/>
        </w:rPr>
        <w:t>1.1 词语定义</w:t>
      </w:r>
      <w:bookmarkEnd w:id="295"/>
      <w:bookmarkEnd w:id="296"/>
      <w:bookmarkEnd w:id="297"/>
      <w:bookmarkEnd w:id="298"/>
      <w:bookmarkEnd w:id="299"/>
      <w:bookmarkEnd w:id="300"/>
      <w:bookmarkEnd w:id="301"/>
      <w:bookmarkEnd w:id="302"/>
    </w:p>
    <w:p w14:paraId="13E101FF">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1.1.1合同</w:t>
      </w:r>
    </w:p>
    <w:p w14:paraId="7DC78BB6">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1.1.1.10其他合同文件包括：</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65869AD9">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1.1.2 合同当事人及其他相关方</w:t>
      </w:r>
    </w:p>
    <w:p w14:paraId="60DB19AD">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u w:val="single"/>
          <w:lang w:val="en-US" w:eastAsia="zh-CN"/>
        </w:rPr>
      </w:pPr>
      <w:r>
        <w:rPr>
          <w:rFonts w:hint="eastAsia" w:ascii="宋体" w:hAnsi="宋体" w:eastAsia="宋体" w:cs="宋体"/>
          <w:color w:val="000000"/>
          <w:sz w:val="24"/>
          <w:highlight w:val="none"/>
        </w:rPr>
        <w:t>1.1.2.4监理人：</w:t>
      </w:r>
    </w:p>
    <w:p w14:paraId="1B57C486">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名    称：</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w:t>
      </w:r>
    </w:p>
    <w:p w14:paraId="4C574932">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资质类别和等级：</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w:t>
      </w:r>
    </w:p>
    <w:p w14:paraId="78C06492">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联系电话：</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w:t>
      </w:r>
    </w:p>
    <w:p w14:paraId="0BA19D17">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电子信箱：</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w:t>
      </w:r>
    </w:p>
    <w:p w14:paraId="6542646C">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通信地址：</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w:t>
      </w:r>
    </w:p>
    <w:p w14:paraId="0EF58E75">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1.1.2.5 设计人：</w:t>
      </w:r>
    </w:p>
    <w:p w14:paraId="69421C7C">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名    称：</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rPr>
        <w:t>；</w:t>
      </w:r>
    </w:p>
    <w:p w14:paraId="7134569E">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资质类别和等级：</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14:paraId="27FB09CF">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联系电话：</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14:paraId="4AD8EB79">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电子信箱：</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rPr>
        <w:t>；</w:t>
      </w:r>
    </w:p>
    <w:p w14:paraId="44E87735">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通信地址：</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14:paraId="0BC32A82">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1.1.3 工程和设备</w:t>
      </w:r>
    </w:p>
    <w:p w14:paraId="2992D87B">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1.1.3.7 作为施工现场组成部分的其他场所包括：。</w:t>
      </w:r>
    </w:p>
    <w:p w14:paraId="7CDC6E7B">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1.1.3.9 永久占地包括：</w:t>
      </w:r>
      <w:r>
        <w:rPr>
          <w:rFonts w:hint="eastAsia" w:ascii="宋体" w:hAnsi="宋体" w:eastAsia="宋体" w:cs="宋体"/>
          <w:color w:val="000000"/>
          <w:sz w:val="24"/>
          <w:highlight w:val="none"/>
          <w:u w:val="single"/>
        </w:rPr>
        <w:t xml:space="preserve">                </w:t>
      </w:r>
      <w:r>
        <w:rPr>
          <w:rFonts w:hint="eastAsia" w:ascii="宋体" w:hAnsi="宋体" w:eastAsia="宋体" w:cs="宋体"/>
          <w:color w:val="000000"/>
          <w:kern w:val="0"/>
          <w:sz w:val="24"/>
          <w:highlight w:val="none"/>
        </w:rPr>
        <w:t>。</w:t>
      </w:r>
    </w:p>
    <w:p w14:paraId="3D47ECE2">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1.1.3.10 临时占地包括：</w:t>
      </w:r>
      <w:r>
        <w:rPr>
          <w:rFonts w:hint="eastAsia" w:ascii="宋体" w:hAnsi="宋体" w:eastAsia="宋体" w:cs="宋体"/>
          <w:color w:val="000000"/>
          <w:sz w:val="24"/>
          <w:highlight w:val="none"/>
          <w:u w:val="single"/>
        </w:rPr>
        <w:t xml:space="preserve">               </w:t>
      </w:r>
      <w:r>
        <w:rPr>
          <w:rFonts w:hint="eastAsia" w:ascii="宋体" w:hAnsi="宋体" w:eastAsia="宋体" w:cs="宋体"/>
          <w:color w:val="000000"/>
          <w:kern w:val="0"/>
          <w:sz w:val="24"/>
          <w:highlight w:val="none"/>
        </w:rPr>
        <w:t>。</w:t>
      </w:r>
    </w:p>
    <w:p w14:paraId="4777CB2C">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1.3法律 </w:t>
      </w:r>
    </w:p>
    <w:p w14:paraId="2CDE41D6">
      <w:pPr>
        <w:keepLines w:val="0"/>
        <w:pageBreakBefore w:val="0"/>
        <w:widowControl w:val="0"/>
        <w:kinsoku/>
        <w:wordWrap/>
        <w:overflowPunct/>
        <w:topLinePunct w:val="0"/>
        <w:autoSpaceDE w:val="0"/>
        <w:autoSpaceDN w:val="0"/>
        <w:bidi w:val="0"/>
        <w:adjustRightInd w:val="0"/>
        <w:snapToGrid/>
        <w:spacing w:line="360" w:lineRule="auto"/>
        <w:ind w:left="596" w:leftChars="284"/>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适用于合同的其他规范性文件：</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rPr>
        <w:t>。</w:t>
      </w:r>
    </w:p>
    <w:p w14:paraId="1C5D337D">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1.4 标准和规范</w:t>
      </w:r>
    </w:p>
    <w:p w14:paraId="1153E61A">
      <w:pPr>
        <w:keepLines w:val="0"/>
        <w:pageBreakBefore w:val="0"/>
        <w:widowControl w:val="0"/>
        <w:kinsoku/>
        <w:wordWrap/>
        <w:overflowPunct/>
        <w:topLinePunct w:val="0"/>
        <w:bidi w:val="0"/>
        <w:snapToGrid/>
        <w:spacing w:line="360" w:lineRule="auto"/>
        <w:ind w:left="596" w:leftChars="284"/>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1.4.1适用于工程的标准规范包括：</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rPr>
        <w:t>。</w:t>
      </w:r>
    </w:p>
    <w:p w14:paraId="1CC06447">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kern w:val="0"/>
          <w:sz w:val="24"/>
          <w:highlight w:val="none"/>
          <w:u w:val="single"/>
        </w:rPr>
      </w:pPr>
      <w:bookmarkStart w:id="303" w:name="_Toc13729"/>
      <w:bookmarkStart w:id="304" w:name="_Toc458"/>
      <w:bookmarkStart w:id="305" w:name="_Toc7992"/>
      <w:bookmarkStart w:id="306" w:name="_Toc28718"/>
      <w:bookmarkStart w:id="307" w:name="_Toc20791"/>
      <w:bookmarkStart w:id="308" w:name="_Toc4795"/>
      <w:bookmarkStart w:id="309" w:name="_Toc16208"/>
      <w:bookmarkStart w:id="310" w:name="_Toc6693"/>
      <w:r>
        <w:rPr>
          <w:rFonts w:hint="eastAsia" w:ascii="宋体" w:hAnsi="宋体" w:eastAsia="宋体" w:cs="宋体"/>
          <w:color w:val="000000"/>
          <w:kern w:val="0"/>
          <w:sz w:val="24"/>
          <w:highlight w:val="none"/>
        </w:rPr>
        <w:t>1.4.2 发包人提供国外标准、规范的名称：</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lang w:val="en-US" w:eastAsia="zh-CN"/>
        </w:rPr>
        <w:t xml:space="preserve"> </w:t>
      </w:r>
      <w:r>
        <w:rPr>
          <w:rFonts w:hint="eastAsia" w:ascii="宋体" w:hAnsi="宋体" w:eastAsia="宋体" w:cs="宋体"/>
          <w:color w:val="000000"/>
          <w:kern w:val="0"/>
          <w:sz w:val="24"/>
          <w:highlight w:val="none"/>
        </w:rPr>
        <w:t>；</w:t>
      </w:r>
      <w:bookmarkEnd w:id="303"/>
      <w:bookmarkEnd w:id="304"/>
      <w:bookmarkEnd w:id="305"/>
      <w:bookmarkEnd w:id="306"/>
      <w:bookmarkEnd w:id="307"/>
      <w:bookmarkEnd w:id="308"/>
      <w:bookmarkEnd w:id="309"/>
      <w:bookmarkEnd w:id="310"/>
    </w:p>
    <w:p w14:paraId="6D2DEC15">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发包人提供国外标准、规范的份数：</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6E604AA5">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发包人提供国外标准、规范的名称：</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lang w:val="en-US" w:eastAsia="zh-CN"/>
        </w:rPr>
        <w:t xml:space="preserve"> </w:t>
      </w:r>
      <w:r>
        <w:rPr>
          <w:rFonts w:hint="eastAsia" w:ascii="宋体" w:hAnsi="宋体" w:eastAsia="宋体" w:cs="宋体"/>
          <w:color w:val="000000"/>
          <w:kern w:val="0"/>
          <w:sz w:val="24"/>
          <w:highlight w:val="none"/>
        </w:rPr>
        <w:t>。</w:t>
      </w:r>
    </w:p>
    <w:p w14:paraId="2E8CFE96">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1.4.3发包人对工程的技术标准和功能要求的特殊要求：</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w:t>
      </w:r>
    </w:p>
    <w:p w14:paraId="747C4220">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311" w:name="_Toc5094"/>
      <w:bookmarkStart w:id="312" w:name="_Toc8488"/>
      <w:bookmarkStart w:id="313" w:name="_Toc22697"/>
      <w:bookmarkStart w:id="314" w:name="_Toc21053"/>
      <w:bookmarkStart w:id="315" w:name="_Toc6122"/>
      <w:bookmarkStart w:id="316" w:name="_Toc25062"/>
      <w:bookmarkStart w:id="317" w:name="_Toc14940"/>
      <w:bookmarkStart w:id="318" w:name="_Toc27135"/>
      <w:r>
        <w:rPr>
          <w:rFonts w:hint="eastAsia" w:ascii="宋体" w:hAnsi="宋体" w:eastAsia="宋体" w:cs="宋体"/>
          <w:color w:val="000000"/>
          <w:sz w:val="24"/>
          <w:highlight w:val="none"/>
        </w:rPr>
        <w:t>1.5 合同文件的优先顺序</w:t>
      </w:r>
      <w:bookmarkEnd w:id="311"/>
      <w:bookmarkEnd w:id="312"/>
      <w:bookmarkEnd w:id="313"/>
      <w:bookmarkEnd w:id="314"/>
      <w:bookmarkEnd w:id="315"/>
      <w:bookmarkEnd w:id="316"/>
      <w:bookmarkEnd w:id="317"/>
      <w:bookmarkEnd w:id="318"/>
    </w:p>
    <w:p w14:paraId="72440382">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合同文件组成及优先顺序为：</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rPr>
        <w:t>。</w:t>
      </w:r>
    </w:p>
    <w:p w14:paraId="0378EF40">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319" w:name="_Toc18979"/>
      <w:bookmarkStart w:id="320" w:name="_Toc8612"/>
      <w:bookmarkStart w:id="321" w:name="_Toc10863"/>
      <w:bookmarkStart w:id="322" w:name="_Toc2532"/>
      <w:bookmarkStart w:id="323" w:name="_Toc21753"/>
      <w:bookmarkStart w:id="324" w:name="_Toc3178"/>
      <w:bookmarkStart w:id="325" w:name="_Toc22870"/>
      <w:bookmarkStart w:id="326" w:name="_Toc14779"/>
      <w:r>
        <w:rPr>
          <w:rFonts w:hint="eastAsia" w:ascii="宋体" w:hAnsi="宋体" w:eastAsia="宋体" w:cs="宋体"/>
          <w:color w:val="000000"/>
          <w:sz w:val="24"/>
          <w:highlight w:val="none"/>
        </w:rPr>
        <w:t>1.6 图纸和承包人文件</w:t>
      </w:r>
      <w:bookmarkEnd w:id="319"/>
      <w:bookmarkEnd w:id="320"/>
      <w:bookmarkEnd w:id="321"/>
      <w:bookmarkEnd w:id="322"/>
      <w:bookmarkEnd w:id="323"/>
      <w:bookmarkEnd w:id="324"/>
      <w:bookmarkEnd w:id="325"/>
      <w:bookmarkEnd w:id="326"/>
      <w:r>
        <w:rPr>
          <w:rFonts w:hint="eastAsia" w:ascii="宋体" w:hAnsi="宋体" w:eastAsia="宋体" w:cs="宋体"/>
          <w:color w:val="000000"/>
          <w:sz w:val="24"/>
          <w:highlight w:val="none"/>
        </w:rPr>
        <w:tab/>
      </w:r>
    </w:p>
    <w:p w14:paraId="3E641FD5">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1.6.1 图纸的提供</w:t>
      </w:r>
    </w:p>
    <w:p w14:paraId="3900CB28">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发包人向承包人提供图纸的期限：</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rPr>
        <w:t>；</w:t>
      </w:r>
    </w:p>
    <w:p w14:paraId="76B58EA1">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发包人向承包人提供图纸的数量：</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rPr>
        <w:t>；</w:t>
      </w:r>
    </w:p>
    <w:p w14:paraId="4C619704">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发包人向承包人提供图纸的内容：</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rPr>
        <w:t>。</w:t>
      </w:r>
    </w:p>
    <w:p w14:paraId="6DD8BA3D">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1.6.4 承包人文件</w:t>
      </w:r>
    </w:p>
    <w:p w14:paraId="10A6C9A8">
      <w:pPr>
        <w:keepLines w:val="0"/>
        <w:pageBreakBefore w:val="0"/>
        <w:widowControl w:val="0"/>
        <w:kinsoku/>
        <w:wordWrap/>
        <w:overflowPunct/>
        <w:topLinePunct w:val="0"/>
        <w:bidi w:val="0"/>
        <w:snapToGrid/>
        <w:spacing w:line="360" w:lineRule="auto"/>
        <w:ind w:left="596" w:leftChars="284"/>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需要由承包人提供的文件，包括：</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rPr>
        <w:t>；</w:t>
      </w:r>
    </w:p>
    <w:p w14:paraId="75825F64">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承包人提供的文件的期限为：</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14:paraId="12EC85F4">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承包人提供的文件的数量为：</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rPr>
        <w:t>；</w:t>
      </w:r>
    </w:p>
    <w:p w14:paraId="5C0B7B04">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承包人提供的文件的形式为：</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14:paraId="00BDB54D">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发包人审批承包人文件的期限：</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14:paraId="6BECED9A">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1.6.5 现场图纸准备</w:t>
      </w:r>
    </w:p>
    <w:p w14:paraId="137F759B">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关于现场图纸准备的约定：</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14:paraId="6B7F4F28">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327" w:name="_Toc20110"/>
      <w:bookmarkStart w:id="328" w:name="_Toc21434"/>
      <w:bookmarkStart w:id="329" w:name="_Toc29076"/>
      <w:bookmarkStart w:id="330" w:name="_Toc21869"/>
      <w:bookmarkStart w:id="331" w:name="_Toc24964"/>
      <w:bookmarkStart w:id="332" w:name="_Toc21911"/>
      <w:bookmarkStart w:id="333" w:name="_Toc22625"/>
      <w:bookmarkStart w:id="334" w:name="_Toc16791"/>
      <w:r>
        <w:rPr>
          <w:rFonts w:hint="eastAsia" w:ascii="宋体" w:hAnsi="宋体" w:eastAsia="宋体" w:cs="宋体"/>
          <w:color w:val="000000"/>
          <w:sz w:val="24"/>
          <w:highlight w:val="none"/>
        </w:rPr>
        <w:t>1.7 联络</w:t>
      </w:r>
      <w:bookmarkEnd w:id="327"/>
      <w:bookmarkEnd w:id="328"/>
      <w:bookmarkEnd w:id="329"/>
      <w:bookmarkEnd w:id="330"/>
      <w:bookmarkEnd w:id="331"/>
      <w:bookmarkEnd w:id="332"/>
      <w:bookmarkEnd w:id="333"/>
      <w:bookmarkEnd w:id="334"/>
    </w:p>
    <w:p w14:paraId="4EFE128E">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1.7.1发包人和承包人应当在</w:t>
      </w:r>
      <w:r>
        <w:rPr>
          <w:rFonts w:hint="eastAsia" w:ascii="宋体" w:hAnsi="宋体" w:eastAsia="宋体" w:cs="宋体"/>
          <w:color w:val="000000"/>
          <w:sz w:val="24"/>
          <w:highlight w:val="none"/>
          <w:u w:val="single"/>
        </w:rPr>
        <w:t></w:t>
      </w:r>
      <w:r>
        <w:rPr>
          <w:rFonts w:hint="eastAsia" w:ascii="宋体" w:hAnsi="宋体" w:eastAsia="宋体" w:cs="宋体"/>
          <w:color w:val="000000"/>
          <w:kern w:val="0"/>
          <w:sz w:val="24"/>
          <w:highlight w:val="none"/>
        </w:rPr>
        <w:t>天内将与合同有关的通知、批准、证明、证书、指示、指令、要求、请求、同意、意见、确定和决定等书面函件送达对方当事人。</w:t>
      </w:r>
    </w:p>
    <w:p w14:paraId="15A6A322">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1.7.2 发包人接收文件的地点：</w:t>
      </w:r>
      <w:r>
        <w:rPr>
          <w:rFonts w:hint="eastAsia" w:ascii="宋体" w:hAnsi="宋体" w:eastAsia="宋体" w:cs="宋体"/>
          <w:color w:val="000000"/>
          <w:sz w:val="24"/>
          <w:highlight w:val="none"/>
          <w:u w:val="single"/>
        </w:rPr>
        <w:t> </w:t>
      </w:r>
      <w:r>
        <w:rPr>
          <w:rFonts w:hint="eastAsia" w:ascii="宋体" w:hAnsi="宋体" w:eastAsia="宋体" w:cs="宋体"/>
          <w:color w:val="000000"/>
          <w:kern w:val="0"/>
          <w:sz w:val="24"/>
          <w:highlight w:val="none"/>
        </w:rPr>
        <w:t>；</w:t>
      </w:r>
    </w:p>
    <w:p w14:paraId="4FDB5BAC">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发包人指定的接收人为：</w:t>
      </w:r>
      <w:r>
        <w:rPr>
          <w:rFonts w:hint="eastAsia" w:ascii="宋体" w:hAnsi="宋体" w:eastAsia="宋体" w:cs="宋体"/>
          <w:color w:val="000000"/>
          <w:sz w:val="24"/>
          <w:highlight w:val="none"/>
          <w:u w:val="single"/>
        </w:rPr>
        <w:t> </w:t>
      </w:r>
      <w:r>
        <w:rPr>
          <w:rFonts w:hint="eastAsia" w:ascii="宋体" w:hAnsi="宋体" w:eastAsia="宋体" w:cs="宋体"/>
          <w:color w:val="000000"/>
          <w:kern w:val="0"/>
          <w:sz w:val="24"/>
          <w:highlight w:val="none"/>
        </w:rPr>
        <w:t>。</w:t>
      </w:r>
    </w:p>
    <w:p w14:paraId="5AD0394F">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承包人接收文件的地点：</w:t>
      </w:r>
      <w:r>
        <w:rPr>
          <w:rFonts w:hint="eastAsia" w:ascii="宋体" w:hAnsi="宋体" w:eastAsia="宋体" w:cs="宋体"/>
          <w:color w:val="000000"/>
          <w:sz w:val="24"/>
          <w:highlight w:val="none"/>
          <w:u w:val="single"/>
        </w:rPr>
        <w:t> </w:t>
      </w:r>
      <w:r>
        <w:rPr>
          <w:rFonts w:hint="eastAsia" w:ascii="宋体" w:hAnsi="宋体" w:eastAsia="宋体" w:cs="宋体"/>
          <w:color w:val="000000"/>
          <w:kern w:val="0"/>
          <w:sz w:val="24"/>
          <w:highlight w:val="none"/>
        </w:rPr>
        <w:t>；</w:t>
      </w:r>
    </w:p>
    <w:p w14:paraId="6B105C7D">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承包人指定的接收人为：</w:t>
      </w:r>
      <w:r>
        <w:rPr>
          <w:rFonts w:hint="eastAsia" w:ascii="宋体" w:hAnsi="宋体" w:eastAsia="宋体" w:cs="宋体"/>
          <w:color w:val="000000"/>
          <w:sz w:val="24"/>
          <w:highlight w:val="none"/>
          <w:u w:val="single"/>
        </w:rPr>
        <w:t> </w:t>
      </w:r>
      <w:r>
        <w:rPr>
          <w:rFonts w:hint="eastAsia" w:ascii="宋体" w:hAnsi="宋体" w:eastAsia="宋体" w:cs="宋体"/>
          <w:color w:val="000000"/>
          <w:kern w:val="0"/>
          <w:sz w:val="24"/>
          <w:highlight w:val="none"/>
        </w:rPr>
        <w:t>。</w:t>
      </w:r>
    </w:p>
    <w:p w14:paraId="2225D66D">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监理人接收文件的地点：</w:t>
      </w:r>
      <w:r>
        <w:rPr>
          <w:rFonts w:hint="eastAsia" w:ascii="宋体" w:hAnsi="宋体" w:eastAsia="宋体" w:cs="宋体"/>
          <w:color w:val="000000"/>
          <w:sz w:val="24"/>
          <w:highlight w:val="none"/>
          <w:u w:val="single"/>
        </w:rPr>
        <w:t> </w:t>
      </w:r>
      <w:r>
        <w:rPr>
          <w:rFonts w:hint="eastAsia" w:ascii="宋体" w:hAnsi="宋体" w:eastAsia="宋体" w:cs="宋体"/>
          <w:color w:val="000000"/>
          <w:kern w:val="0"/>
          <w:sz w:val="24"/>
          <w:highlight w:val="none"/>
        </w:rPr>
        <w:t>；</w:t>
      </w:r>
    </w:p>
    <w:p w14:paraId="210131D4">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监理人指定的接收人为：</w:t>
      </w:r>
      <w:r>
        <w:rPr>
          <w:rFonts w:hint="eastAsia" w:ascii="宋体" w:hAnsi="宋体" w:eastAsia="宋体" w:cs="宋体"/>
          <w:color w:val="000000"/>
          <w:sz w:val="24"/>
          <w:highlight w:val="none"/>
          <w:u w:val="single"/>
        </w:rPr>
        <w:t> </w:t>
      </w:r>
      <w:r>
        <w:rPr>
          <w:rFonts w:hint="eastAsia" w:ascii="宋体" w:hAnsi="宋体" w:eastAsia="宋体" w:cs="宋体"/>
          <w:color w:val="000000"/>
          <w:kern w:val="0"/>
          <w:sz w:val="24"/>
          <w:highlight w:val="none"/>
        </w:rPr>
        <w:t>。</w:t>
      </w:r>
    </w:p>
    <w:p w14:paraId="32484890">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335" w:name="_Toc26723"/>
      <w:bookmarkStart w:id="336" w:name="_Toc4756"/>
      <w:bookmarkStart w:id="337" w:name="_Toc13710"/>
      <w:bookmarkStart w:id="338" w:name="_Toc1541"/>
      <w:bookmarkStart w:id="339" w:name="_Toc17228"/>
      <w:bookmarkStart w:id="340" w:name="_Toc20632"/>
      <w:bookmarkStart w:id="341" w:name="_Toc27132"/>
      <w:bookmarkStart w:id="342" w:name="_Toc30881"/>
      <w:r>
        <w:rPr>
          <w:rFonts w:hint="eastAsia" w:ascii="宋体" w:hAnsi="宋体" w:eastAsia="宋体" w:cs="宋体"/>
          <w:color w:val="000000"/>
          <w:sz w:val="24"/>
          <w:highlight w:val="none"/>
        </w:rPr>
        <w:t>1.10 交通运输</w:t>
      </w:r>
      <w:bookmarkEnd w:id="335"/>
      <w:bookmarkEnd w:id="336"/>
      <w:bookmarkEnd w:id="337"/>
      <w:bookmarkEnd w:id="338"/>
      <w:bookmarkEnd w:id="339"/>
      <w:bookmarkEnd w:id="340"/>
      <w:bookmarkEnd w:id="341"/>
      <w:bookmarkEnd w:id="342"/>
    </w:p>
    <w:p w14:paraId="08103943">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sz w:val="24"/>
          <w:highlight w:val="none"/>
        </w:rPr>
      </w:pPr>
      <w:bookmarkStart w:id="343" w:name="_Toc6487"/>
      <w:bookmarkStart w:id="344" w:name="_Toc1551"/>
      <w:bookmarkStart w:id="345" w:name="_Toc4563"/>
      <w:bookmarkStart w:id="346" w:name="_Toc17127"/>
      <w:bookmarkStart w:id="347" w:name="_Toc758"/>
      <w:bookmarkStart w:id="348" w:name="_Toc25779"/>
      <w:bookmarkStart w:id="349" w:name="_Toc30937"/>
      <w:bookmarkStart w:id="350" w:name="_Toc30094"/>
      <w:r>
        <w:rPr>
          <w:rFonts w:hint="eastAsia" w:ascii="宋体" w:hAnsi="宋体" w:eastAsia="宋体" w:cs="宋体"/>
          <w:sz w:val="24"/>
          <w:highlight w:val="none"/>
        </w:rPr>
        <w:t>1</w:t>
      </w:r>
      <w:bookmarkStart w:id="351" w:name="_Toc300934943"/>
      <w:bookmarkStart w:id="352" w:name="_Toc318581155"/>
      <w:bookmarkStart w:id="353" w:name="_Toc312677986"/>
      <w:bookmarkStart w:id="354" w:name="_Toc303539100"/>
      <w:bookmarkStart w:id="355" w:name="_Toc304295521"/>
      <w:r>
        <w:rPr>
          <w:rFonts w:hint="eastAsia" w:ascii="宋体" w:hAnsi="宋体" w:eastAsia="宋体" w:cs="宋体"/>
          <w:sz w:val="24"/>
          <w:highlight w:val="none"/>
        </w:rPr>
        <w:t>.10.1 出入现场的权利</w:t>
      </w:r>
      <w:bookmarkEnd w:id="343"/>
      <w:bookmarkEnd w:id="344"/>
      <w:bookmarkEnd w:id="345"/>
      <w:bookmarkEnd w:id="346"/>
      <w:bookmarkEnd w:id="347"/>
      <w:bookmarkEnd w:id="348"/>
      <w:bookmarkEnd w:id="349"/>
      <w:bookmarkEnd w:id="350"/>
    </w:p>
    <w:p w14:paraId="33AF8DCD">
      <w:pPr>
        <w:keepLines w:val="0"/>
        <w:pageBreakBefore w:val="0"/>
        <w:widowControl w:val="0"/>
        <w:kinsoku/>
        <w:wordWrap/>
        <w:overflowPunct/>
        <w:topLinePunct w:val="0"/>
        <w:bidi w:val="0"/>
        <w:snapToGrid/>
        <w:spacing w:line="360" w:lineRule="auto"/>
        <w:ind w:left="596" w:leftChars="284"/>
        <w:textAlignment w:val="auto"/>
        <w:rPr>
          <w:rFonts w:hint="eastAsia" w:ascii="宋体" w:hAnsi="宋体" w:eastAsia="宋体" w:cs="宋体"/>
          <w:color w:val="000000"/>
          <w:sz w:val="24"/>
          <w:highlight w:val="none"/>
          <w:u w:val="single"/>
        </w:rPr>
      </w:pPr>
      <w:r>
        <w:rPr>
          <w:rFonts w:hint="eastAsia" w:ascii="宋体" w:hAnsi="宋体" w:eastAsia="宋体" w:cs="宋体"/>
          <w:sz w:val="24"/>
          <w:highlight w:val="none"/>
        </w:rPr>
        <w:t>关于出入现场的权利的约定：</w:t>
      </w:r>
      <w:r>
        <w:rPr>
          <w:rFonts w:hint="eastAsia" w:ascii="宋体" w:hAnsi="宋体" w:eastAsia="宋体" w:cs="宋体"/>
          <w:color w:val="000000"/>
          <w:sz w:val="24"/>
          <w:highlight w:val="none"/>
          <w:u w:val="single"/>
        </w:rPr>
        <w:t>  </w:t>
      </w:r>
      <w:r>
        <w:rPr>
          <w:rFonts w:hint="eastAsia" w:ascii="宋体" w:hAnsi="宋体" w:eastAsia="宋体" w:cs="宋体"/>
          <w:sz w:val="24"/>
          <w:highlight w:val="none"/>
        </w:rPr>
        <w:t>。</w:t>
      </w:r>
    </w:p>
    <w:bookmarkEnd w:id="351"/>
    <w:bookmarkEnd w:id="352"/>
    <w:bookmarkEnd w:id="353"/>
    <w:bookmarkEnd w:id="354"/>
    <w:bookmarkEnd w:id="355"/>
    <w:p w14:paraId="5C0984FC">
      <w:pPr>
        <w:keepLines w:val="0"/>
        <w:pageBreakBefore w:val="0"/>
        <w:widowControl w:val="0"/>
        <w:kinsoku/>
        <w:wordWrap/>
        <w:overflowPunct/>
        <w:topLinePunct w:val="0"/>
        <w:bidi w:val="0"/>
        <w:snapToGrid/>
        <w:spacing w:line="360" w:lineRule="auto"/>
        <w:ind w:firstLine="480" w:firstLineChars="200"/>
        <w:jc w:val="left"/>
        <w:textAlignment w:val="auto"/>
        <w:outlineLvl w:val="0"/>
        <w:rPr>
          <w:rFonts w:hint="eastAsia" w:ascii="宋体" w:hAnsi="宋体" w:eastAsia="宋体" w:cs="宋体"/>
          <w:sz w:val="24"/>
          <w:highlight w:val="none"/>
        </w:rPr>
      </w:pPr>
      <w:bookmarkStart w:id="356" w:name="_Toc1113"/>
      <w:bookmarkStart w:id="357" w:name="_Toc3929"/>
      <w:bookmarkStart w:id="358" w:name="_Toc23331"/>
      <w:bookmarkStart w:id="359" w:name="_Toc28031"/>
      <w:bookmarkStart w:id="360" w:name="_Toc30707"/>
      <w:bookmarkStart w:id="361" w:name="_Toc27949"/>
      <w:bookmarkStart w:id="362" w:name="_Toc6454"/>
      <w:bookmarkStart w:id="363" w:name="_Toc21510"/>
      <w:r>
        <w:rPr>
          <w:rFonts w:hint="eastAsia" w:ascii="宋体" w:hAnsi="宋体" w:eastAsia="宋体" w:cs="宋体"/>
          <w:sz w:val="24"/>
          <w:highlight w:val="none"/>
        </w:rPr>
        <w:t>1</w:t>
      </w:r>
      <w:bookmarkStart w:id="364" w:name="_Toc304295522"/>
      <w:bookmarkStart w:id="365" w:name="_Toc312677987"/>
      <w:bookmarkStart w:id="366" w:name="_Toc318581156"/>
      <w:bookmarkStart w:id="367" w:name="_Toc303539101"/>
      <w:bookmarkStart w:id="368" w:name="_Toc300934944"/>
      <w:r>
        <w:rPr>
          <w:rFonts w:hint="eastAsia" w:ascii="宋体" w:hAnsi="宋体" w:eastAsia="宋体" w:cs="宋体"/>
          <w:sz w:val="24"/>
          <w:highlight w:val="none"/>
        </w:rPr>
        <w:t>.10.3 场内交通</w:t>
      </w:r>
      <w:bookmarkEnd w:id="356"/>
      <w:bookmarkEnd w:id="357"/>
      <w:bookmarkEnd w:id="358"/>
      <w:bookmarkEnd w:id="359"/>
      <w:bookmarkEnd w:id="360"/>
      <w:bookmarkEnd w:id="361"/>
      <w:bookmarkEnd w:id="362"/>
      <w:bookmarkEnd w:id="363"/>
    </w:p>
    <w:p w14:paraId="3218E839">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关于场外交通和场内交通的边界的约定：</w:t>
      </w:r>
      <w:r>
        <w:rPr>
          <w:rFonts w:hint="eastAsia" w:ascii="宋体" w:hAnsi="宋体" w:eastAsia="宋体" w:cs="宋体"/>
          <w:color w:val="000000"/>
          <w:sz w:val="24"/>
          <w:highlight w:val="none"/>
          <w:u w:val="single"/>
        </w:rPr>
        <w:t>  </w:t>
      </w:r>
      <w:r>
        <w:rPr>
          <w:rFonts w:hint="eastAsia" w:ascii="宋体" w:hAnsi="宋体" w:eastAsia="宋体" w:cs="宋体"/>
          <w:sz w:val="24"/>
          <w:highlight w:val="none"/>
        </w:rPr>
        <w:t>。</w:t>
      </w:r>
    </w:p>
    <w:p w14:paraId="768E4AB0">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关于发包人向承包人免费提供满足工程施工需要的场内道路和交通设施的约定。</w:t>
      </w:r>
      <w:bookmarkEnd w:id="364"/>
      <w:bookmarkEnd w:id="365"/>
      <w:bookmarkEnd w:id="366"/>
      <w:bookmarkEnd w:id="367"/>
      <w:bookmarkEnd w:id="368"/>
      <w:bookmarkStart w:id="369" w:name="_Toc318581157"/>
    </w:p>
    <w:p w14:paraId="22E3AAB7">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1.10.4超大件和超重件的运输</w:t>
      </w:r>
    </w:p>
    <w:p w14:paraId="17502959">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运输超大件或超重件所需的道路和桥梁临时加固改造费用和其他有关费用由承担。</w:t>
      </w:r>
    </w:p>
    <w:bookmarkEnd w:id="369"/>
    <w:p w14:paraId="6E20B48B">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370" w:name="_Toc28175"/>
      <w:bookmarkStart w:id="371" w:name="_Toc19801"/>
      <w:bookmarkStart w:id="372" w:name="_Toc17854"/>
      <w:bookmarkStart w:id="373" w:name="_Toc2802"/>
      <w:bookmarkStart w:id="374" w:name="_Toc24109"/>
      <w:bookmarkStart w:id="375" w:name="_Toc20079"/>
      <w:bookmarkStart w:id="376" w:name="_Toc24628"/>
      <w:bookmarkStart w:id="377" w:name="_Toc25087"/>
      <w:r>
        <w:rPr>
          <w:rFonts w:hint="eastAsia" w:ascii="宋体" w:hAnsi="宋体" w:eastAsia="宋体" w:cs="宋体"/>
          <w:color w:val="000000"/>
          <w:sz w:val="24"/>
          <w:highlight w:val="none"/>
        </w:rPr>
        <w:t>1.11 知识产权</w:t>
      </w:r>
      <w:bookmarkEnd w:id="370"/>
      <w:bookmarkEnd w:id="371"/>
      <w:bookmarkEnd w:id="372"/>
      <w:bookmarkEnd w:id="373"/>
      <w:bookmarkEnd w:id="374"/>
      <w:bookmarkEnd w:id="375"/>
      <w:bookmarkEnd w:id="376"/>
      <w:bookmarkEnd w:id="377"/>
    </w:p>
    <w:p w14:paraId="419AB677">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sz w:val="24"/>
          <w:highlight w:val="none"/>
          <w:u w:val="single"/>
        </w:rPr>
        <w:t xml:space="preserve">                                </w:t>
      </w:r>
      <w:r>
        <w:rPr>
          <w:rFonts w:hint="eastAsia" w:ascii="宋体" w:hAnsi="宋体" w:eastAsia="宋体" w:cs="宋体"/>
          <w:color w:val="000000"/>
          <w:sz w:val="24"/>
          <w:highlight w:val="none"/>
        </w:rPr>
        <w:t>。</w:t>
      </w:r>
    </w:p>
    <w:p w14:paraId="18749FD2">
      <w:pPr>
        <w:keepLines w:val="0"/>
        <w:pageBreakBefore w:val="0"/>
        <w:widowControl w:val="0"/>
        <w:kinsoku/>
        <w:wordWrap/>
        <w:overflowPunct/>
        <w:topLinePunct w:val="0"/>
        <w:bidi w:val="0"/>
        <w:snapToGrid/>
        <w:spacing w:line="360" w:lineRule="auto"/>
        <w:ind w:left="596" w:leftChars="284"/>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关于发包人提供的上述文件的使用限制的要求：</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rPr>
        <w:t>。</w:t>
      </w:r>
    </w:p>
    <w:p w14:paraId="5F00A3B2">
      <w:pPr>
        <w:keepLines w:val="0"/>
        <w:pageBreakBefore w:val="0"/>
        <w:widowControl w:val="0"/>
        <w:kinsoku/>
        <w:wordWrap/>
        <w:overflowPunct/>
        <w:topLinePunct w:val="0"/>
        <w:bidi w:val="0"/>
        <w:snapToGrid/>
        <w:spacing w:line="360" w:lineRule="auto"/>
        <w:ind w:left="596" w:leftChars="284"/>
        <w:textAlignment w:val="auto"/>
        <w:outlineLvl w:val="0"/>
        <w:rPr>
          <w:rFonts w:hint="eastAsia" w:ascii="宋体" w:hAnsi="宋体" w:eastAsia="宋体" w:cs="宋体"/>
          <w:color w:val="000000"/>
          <w:sz w:val="24"/>
          <w:highlight w:val="none"/>
        </w:rPr>
      </w:pPr>
      <w:bookmarkStart w:id="378" w:name="_Toc7709"/>
      <w:bookmarkStart w:id="379" w:name="_Toc25635"/>
      <w:bookmarkStart w:id="380" w:name="_Toc15369"/>
      <w:bookmarkStart w:id="381" w:name="_Toc28303"/>
      <w:bookmarkStart w:id="382" w:name="_Toc24889"/>
      <w:bookmarkStart w:id="383" w:name="_Toc3250"/>
      <w:bookmarkStart w:id="384" w:name="_Toc23736"/>
      <w:r>
        <w:rPr>
          <w:rFonts w:hint="eastAsia" w:ascii="宋体" w:hAnsi="宋体" w:eastAsia="宋体" w:cs="宋体"/>
          <w:color w:val="000000"/>
          <w:sz w:val="24"/>
          <w:highlight w:val="none"/>
        </w:rPr>
        <w:t>1.11.2 关于承包人为实施工程所编制文件的著作权的归属：</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bookmarkEnd w:id="378"/>
      <w:bookmarkEnd w:id="379"/>
      <w:bookmarkEnd w:id="380"/>
      <w:bookmarkEnd w:id="381"/>
      <w:bookmarkEnd w:id="382"/>
      <w:bookmarkEnd w:id="383"/>
      <w:bookmarkEnd w:id="384"/>
    </w:p>
    <w:p w14:paraId="68CE4CBE">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关于承包人提供的上述文件的使用限制的要求：</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rPr>
        <w:t>。</w:t>
      </w:r>
    </w:p>
    <w:p w14:paraId="6E5FB279">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kern w:val="0"/>
          <w:sz w:val="24"/>
          <w:highlight w:val="none"/>
        </w:rPr>
      </w:pPr>
      <w:bookmarkStart w:id="385" w:name="_Toc18511"/>
      <w:bookmarkStart w:id="386" w:name="_Toc4116"/>
      <w:bookmarkStart w:id="387" w:name="_Toc11172"/>
      <w:bookmarkStart w:id="388" w:name="_Toc15481"/>
      <w:bookmarkStart w:id="389" w:name="_Toc13667"/>
      <w:bookmarkStart w:id="390" w:name="_Toc23571"/>
      <w:bookmarkStart w:id="391" w:name="_Toc16047"/>
      <w:bookmarkStart w:id="392" w:name="_Toc6482"/>
      <w:r>
        <w:rPr>
          <w:rFonts w:hint="eastAsia" w:ascii="宋体" w:hAnsi="宋体" w:eastAsia="宋体" w:cs="宋体"/>
          <w:color w:val="000000"/>
          <w:sz w:val="24"/>
          <w:highlight w:val="none"/>
        </w:rPr>
        <w:t>1.11.4 承包人在施工过程中所采用的专利、专有技术、技术秘密的使用费的承担方式：</w:t>
      </w:r>
      <w:r>
        <w:rPr>
          <w:rFonts w:hint="eastAsia" w:ascii="宋体" w:hAnsi="宋体" w:eastAsia="宋体" w:cs="宋体"/>
          <w:color w:val="000000"/>
          <w:kern w:val="0"/>
          <w:sz w:val="24"/>
          <w:highlight w:val="none"/>
        </w:rPr>
        <w:t>。</w:t>
      </w:r>
      <w:bookmarkEnd w:id="385"/>
      <w:bookmarkEnd w:id="386"/>
      <w:bookmarkEnd w:id="387"/>
      <w:bookmarkEnd w:id="388"/>
      <w:bookmarkEnd w:id="389"/>
      <w:bookmarkEnd w:id="390"/>
      <w:bookmarkEnd w:id="391"/>
      <w:bookmarkEnd w:id="392"/>
    </w:p>
    <w:p w14:paraId="0F3A93E9">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1.13工程量清单错误的修正</w:t>
      </w:r>
    </w:p>
    <w:p w14:paraId="25C0C847">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出现工程量清单错误时，是否调整合同价格：</w:t>
      </w:r>
      <w:r>
        <w:rPr>
          <w:rFonts w:hint="eastAsia" w:ascii="宋体" w:hAnsi="宋体" w:eastAsia="宋体" w:cs="宋体"/>
          <w:color w:val="000000"/>
          <w:sz w:val="24"/>
          <w:highlight w:val="none"/>
          <w:u w:val="single"/>
        </w:rPr>
        <w:t xml:space="preserve">   否  </w:t>
      </w:r>
      <w:r>
        <w:rPr>
          <w:rFonts w:hint="eastAsia" w:ascii="宋体" w:hAnsi="宋体" w:eastAsia="宋体" w:cs="宋体"/>
          <w:color w:val="000000"/>
          <w:kern w:val="0"/>
          <w:sz w:val="24"/>
          <w:highlight w:val="none"/>
        </w:rPr>
        <w:t>。</w:t>
      </w:r>
    </w:p>
    <w:p w14:paraId="20B3EA6E">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允许调整合同价格的工程量偏差范围：</w:t>
      </w:r>
      <w:r>
        <w:rPr>
          <w:rFonts w:hint="eastAsia" w:ascii="宋体" w:hAnsi="宋体" w:eastAsia="宋体" w:cs="宋体"/>
          <w:color w:val="000000"/>
          <w:sz w:val="24"/>
          <w:highlight w:val="none"/>
          <w:u w:val="single"/>
        </w:rPr>
        <w:t xml:space="preserve">  否     </w:t>
      </w:r>
      <w:r>
        <w:rPr>
          <w:rFonts w:hint="eastAsia" w:ascii="宋体" w:hAnsi="宋体" w:eastAsia="宋体" w:cs="宋体"/>
          <w:color w:val="000000"/>
          <w:kern w:val="0"/>
          <w:sz w:val="24"/>
          <w:highlight w:val="none"/>
        </w:rPr>
        <w:t>。</w:t>
      </w:r>
    </w:p>
    <w:p w14:paraId="455B16C3">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393" w:name="_Toc351203634"/>
      <w:r>
        <w:rPr>
          <w:rFonts w:hint="eastAsia" w:ascii="宋体" w:hAnsi="宋体" w:eastAsia="宋体" w:cs="宋体"/>
          <w:bCs/>
          <w:color w:val="000000"/>
          <w:sz w:val="24"/>
          <w:highlight w:val="none"/>
        </w:rPr>
        <w:t>2</w:t>
      </w:r>
      <w:bookmarkStart w:id="394" w:name="_Toc296890985"/>
      <w:bookmarkStart w:id="395" w:name="_Toc297048343"/>
      <w:bookmarkStart w:id="396" w:name="_Toc296944496"/>
      <w:bookmarkStart w:id="397" w:name="_Toc297120457"/>
      <w:bookmarkStart w:id="398" w:name="_Toc296347156"/>
      <w:bookmarkStart w:id="399" w:name="_Toc296346658"/>
      <w:bookmarkStart w:id="400" w:name="_Toc292559867"/>
      <w:bookmarkStart w:id="401" w:name="_Toc292559362"/>
      <w:bookmarkStart w:id="402" w:name="_Toc296891197"/>
      <w:bookmarkStart w:id="403" w:name="_Toc296503157"/>
      <w:r>
        <w:rPr>
          <w:rFonts w:hint="eastAsia" w:ascii="宋体" w:hAnsi="宋体" w:eastAsia="宋体" w:cs="宋体"/>
          <w:bCs/>
          <w:color w:val="000000"/>
          <w:sz w:val="24"/>
          <w:highlight w:val="none"/>
        </w:rPr>
        <w:t>. 发包人</w:t>
      </w:r>
      <w:bookmarkEnd w:id="393"/>
    </w:p>
    <w:bookmarkEnd w:id="394"/>
    <w:bookmarkEnd w:id="395"/>
    <w:bookmarkEnd w:id="396"/>
    <w:bookmarkEnd w:id="397"/>
    <w:bookmarkEnd w:id="398"/>
    <w:bookmarkEnd w:id="399"/>
    <w:bookmarkEnd w:id="400"/>
    <w:bookmarkEnd w:id="401"/>
    <w:bookmarkEnd w:id="402"/>
    <w:bookmarkEnd w:id="403"/>
    <w:p w14:paraId="342E0A30">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404" w:name="_Toc1669"/>
      <w:bookmarkStart w:id="405" w:name="_Toc19922"/>
      <w:bookmarkStart w:id="406" w:name="_Toc27514"/>
      <w:bookmarkStart w:id="407" w:name="_Toc23745"/>
      <w:bookmarkStart w:id="408" w:name="_Toc13452"/>
      <w:bookmarkStart w:id="409" w:name="_Toc27939"/>
      <w:bookmarkStart w:id="410" w:name="_Toc14999"/>
      <w:bookmarkStart w:id="411" w:name="_Toc22821"/>
      <w:r>
        <w:rPr>
          <w:rFonts w:hint="eastAsia" w:ascii="宋体" w:hAnsi="宋体" w:eastAsia="宋体" w:cs="宋体"/>
          <w:color w:val="000000"/>
          <w:sz w:val="24"/>
          <w:highlight w:val="none"/>
        </w:rPr>
        <w:t>2.2 发包人代表</w:t>
      </w:r>
      <w:bookmarkEnd w:id="404"/>
      <w:bookmarkEnd w:id="405"/>
      <w:bookmarkEnd w:id="406"/>
      <w:bookmarkEnd w:id="407"/>
      <w:bookmarkEnd w:id="408"/>
      <w:bookmarkEnd w:id="409"/>
      <w:bookmarkEnd w:id="410"/>
      <w:bookmarkEnd w:id="411"/>
    </w:p>
    <w:p w14:paraId="752F76BF">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发包人代表：</w:t>
      </w:r>
    </w:p>
    <w:p w14:paraId="51F3399C">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姓    名：</w:t>
      </w:r>
      <w:r>
        <w:rPr>
          <w:rFonts w:hint="eastAsia" w:ascii="宋体" w:hAnsi="宋体" w:eastAsia="宋体" w:cs="宋体"/>
          <w:color w:val="000000"/>
          <w:sz w:val="24"/>
          <w:highlight w:val="none"/>
          <w:u w:val="single"/>
        </w:rPr>
        <w:t>   </w:t>
      </w:r>
      <w:r>
        <w:rPr>
          <w:rFonts w:hint="eastAsia" w:ascii="宋体" w:hAnsi="宋体" w:eastAsia="宋体" w:cs="宋体"/>
          <w:color w:val="000000"/>
          <w:sz w:val="24"/>
          <w:highlight w:val="none"/>
        </w:rPr>
        <w:t>；</w:t>
      </w:r>
    </w:p>
    <w:p w14:paraId="145A5EC2">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身份证号：</w:t>
      </w:r>
      <w:r>
        <w:rPr>
          <w:rFonts w:hint="eastAsia" w:ascii="宋体" w:hAnsi="宋体" w:eastAsia="宋体" w:cs="宋体"/>
          <w:color w:val="000000"/>
          <w:sz w:val="24"/>
          <w:highlight w:val="none"/>
          <w:u w:val="single"/>
        </w:rPr>
        <w:t>    </w:t>
      </w:r>
      <w:r>
        <w:rPr>
          <w:rFonts w:hint="eastAsia" w:ascii="宋体" w:hAnsi="宋体" w:eastAsia="宋体" w:cs="宋体"/>
          <w:color w:val="000000"/>
          <w:sz w:val="24"/>
          <w:highlight w:val="none"/>
        </w:rPr>
        <w:t>；</w:t>
      </w:r>
    </w:p>
    <w:p w14:paraId="7E34EBA6">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职    务：</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14:paraId="1DCF4562">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联系电话：</w:t>
      </w:r>
      <w:r>
        <w:rPr>
          <w:rFonts w:hint="eastAsia" w:ascii="宋体" w:hAnsi="宋体" w:eastAsia="宋体" w:cs="宋体"/>
          <w:color w:val="000000"/>
          <w:sz w:val="24"/>
          <w:highlight w:val="none"/>
          <w:u w:val="single"/>
        </w:rPr>
        <w:t>    </w:t>
      </w:r>
      <w:r>
        <w:rPr>
          <w:rFonts w:hint="eastAsia" w:ascii="宋体" w:hAnsi="宋体" w:eastAsia="宋体" w:cs="宋体"/>
          <w:color w:val="000000"/>
          <w:sz w:val="24"/>
          <w:highlight w:val="none"/>
        </w:rPr>
        <w:t>；</w:t>
      </w:r>
    </w:p>
    <w:p w14:paraId="72333039">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电子信箱：</w:t>
      </w:r>
      <w:r>
        <w:rPr>
          <w:rFonts w:hint="eastAsia" w:ascii="宋体" w:hAnsi="宋体" w:eastAsia="宋体" w:cs="宋体"/>
          <w:color w:val="000000"/>
          <w:sz w:val="24"/>
          <w:highlight w:val="none"/>
          <w:u w:val="single"/>
        </w:rPr>
        <w:t>    </w:t>
      </w:r>
      <w:r>
        <w:rPr>
          <w:rFonts w:hint="eastAsia" w:ascii="宋体" w:hAnsi="宋体" w:eastAsia="宋体" w:cs="宋体"/>
          <w:color w:val="000000"/>
          <w:sz w:val="24"/>
          <w:highlight w:val="none"/>
        </w:rPr>
        <w:t>；</w:t>
      </w:r>
    </w:p>
    <w:p w14:paraId="5D678CD7">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通信地址：</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14:paraId="6AD78D56">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发包人对发包人代表的授权范围如下：</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14:paraId="13577FCA">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412" w:name="_Toc916"/>
      <w:bookmarkStart w:id="413" w:name="_Toc23813"/>
      <w:bookmarkStart w:id="414" w:name="_Toc30024"/>
      <w:bookmarkStart w:id="415" w:name="_Toc18142"/>
      <w:bookmarkStart w:id="416" w:name="_Toc27013"/>
      <w:bookmarkStart w:id="417" w:name="_Toc10676"/>
      <w:bookmarkStart w:id="418" w:name="_Toc14166"/>
      <w:bookmarkStart w:id="419" w:name="_Toc3020"/>
      <w:r>
        <w:rPr>
          <w:rFonts w:hint="eastAsia" w:ascii="宋体" w:hAnsi="宋体" w:eastAsia="宋体" w:cs="宋体"/>
          <w:color w:val="000000"/>
          <w:sz w:val="24"/>
          <w:highlight w:val="none"/>
        </w:rPr>
        <w:t>2.4 施工现场、施工条件和基础资料的提供</w:t>
      </w:r>
      <w:bookmarkEnd w:id="412"/>
      <w:bookmarkEnd w:id="413"/>
      <w:bookmarkEnd w:id="414"/>
      <w:bookmarkEnd w:id="415"/>
      <w:bookmarkEnd w:id="416"/>
      <w:bookmarkEnd w:id="417"/>
      <w:bookmarkEnd w:id="418"/>
      <w:bookmarkEnd w:id="419"/>
    </w:p>
    <w:p w14:paraId="5FA71FA3">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2.4.1 提供施工现场</w:t>
      </w:r>
    </w:p>
    <w:p w14:paraId="26DCFBC7">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关于发包人移交施工现场的期限要求：</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rPr>
        <w:t>。</w:t>
      </w:r>
    </w:p>
    <w:p w14:paraId="711ADDFD">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2.4.2 提供施工条件</w:t>
      </w:r>
    </w:p>
    <w:p w14:paraId="7B2CAC77">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关于发包人应负责提供施工所需要的条件，包括：</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rPr>
        <w:t>。</w:t>
      </w:r>
    </w:p>
    <w:p w14:paraId="2964FBE3">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420" w:name="_Toc6821"/>
      <w:bookmarkStart w:id="421" w:name="_Toc16005"/>
      <w:bookmarkStart w:id="422" w:name="_Toc29639"/>
      <w:bookmarkStart w:id="423" w:name="_Toc21742"/>
      <w:bookmarkStart w:id="424" w:name="_Toc15697"/>
      <w:bookmarkStart w:id="425" w:name="_Toc3940"/>
      <w:bookmarkStart w:id="426" w:name="_Toc14533"/>
      <w:bookmarkStart w:id="427" w:name="_Toc27744"/>
      <w:r>
        <w:rPr>
          <w:rFonts w:hint="eastAsia" w:ascii="宋体" w:hAnsi="宋体" w:eastAsia="宋体" w:cs="宋体"/>
          <w:color w:val="000000"/>
          <w:sz w:val="24"/>
          <w:highlight w:val="none"/>
        </w:rPr>
        <w:t>2.5 资金来源证明及支付担保</w:t>
      </w:r>
      <w:bookmarkEnd w:id="420"/>
      <w:bookmarkEnd w:id="421"/>
      <w:bookmarkEnd w:id="422"/>
      <w:bookmarkEnd w:id="423"/>
      <w:bookmarkEnd w:id="424"/>
      <w:bookmarkEnd w:id="425"/>
      <w:bookmarkEnd w:id="426"/>
      <w:bookmarkEnd w:id="427"/>
    </w:p>
    <w:p w14:paraId="6F459917">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发包人提供资金来源证明的期限要求：</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22B373BE">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发包人是否提供支付担保：</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rPr>
        <w:t>。</w:t>
      </w:r>
    </w:p>
    <w:p w14:paraId="11AA0C51">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发包人提供支付担保的形式：</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14:paraId="40F30850">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428" w:name="_Toc351203635"/>
      <w:r>
        <w:rPr>
          <w:rFonts w:hint="eastAsia" w:ascii="宋体" w:hAnsi="宋体" w:eastAsia="宋体" w:cs="宋体"/>
          <w:bCs/>
          <w:color w:val="000000"/>
          <w:sz w:val="24"/>
          <w:highlight w:val="none"/>
        </w:rPr>
        <w:t>3</w:t>
      </w:r>
      <w:bookmarkStart w:id="429" w:name="_Toc297048344"/>
      <w:bookmarkStart w:id="430" w:name="_Toc297120458"/>
      <w:bookmarkStart w:id="431" w:name="_Toc296890986"/>
      <w:bookmarkStart w:id="432" w:name="_Toc296346659"/>
      <w:bookmarkStart w:id="433" w:name="_Toc292559868"/>
      <w:bookmarkStart w:id="434" w:name="_Toc296503158"/>
      <w:bookmarkStart w:id="435" w:name="_Toc296891198"/>
      <w:bookmarkStart w:id="436" w:name="_Toc292559363"/>
      <w:bookmarkStart w:id="437" w:name="_Toc296347157"/>
      <w:bookmarkStart w:id="438" w:name="_Toc296944497"/>
      <w:r>
        <w:rPr>
          <w:rFonts w:hint="eastAsia" w:ascii="宋体" w:hAnsi="宋体" w:eastAsia="宋体" w:cs="宋体"/>
          <w:bCs/>
          <w:color w:val="000000"/>
          <w:sz w:val="24"/>
          <w:highlight w:val="none"/>
        </w:rPr>
        <w:t>. 承包人</w:t>
      </w:r>
      <w:bookmarkEnd w:id="428"/>
    </w:p>
    <w:bookmarkEnd w:id="429"/>
    <w:bookmarkEnd w:id="430"/>
    <w:bookmarkEnd w:id="431"/>
    <w:bookmarkEnd w:id="432"/>
    <w:bookmarkEnd w:id="433"/>
    <w:bookmarkEnd w:id="434"/>
    <w:bookmarkEnd w:id="435"/>
    <w:bookmarkEnd w:id="436"/>
    <w:bookmarkEnd w:id="437"/>
    <w:bookmarkEnd w:id="438"/>
    <w:p w14:paraId="796D9900">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3.1 承包人的一般义务</w:t>
      </w:r>
    </w:p>
    <w:p w14:paraId="7C6BB927">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kern w:val="0"/>
          <w:sz w:val="24"/>
          <w:highlight w:val="none"/>
        </w:rPr>
        <w:t>（9）</w:t>
      </w:r>
      <w:r>
        <w:rPr>
          <w:rFonts w:hint="eastAsia" w:ascii="宋体" w:hAnsi="宋体" w:eastAsia="宋体" w:cs="宋体"/>
          <w:color w:val="000000"/>
          <w:sz w:val="24"/>
          <w:highlight w:val="none"/>
        </w:rPr>
        <w:t>承包人提交的竣工资料的内容：</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33CE24F6">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承包人需要提交的竣工资料套数：</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3185EB5F">
      <w:pPr>
        <w:keepLines w:val="0"/>
        <w:pageBreakBefore w:val="0"/>
        <w:widowControl w:val="0"/>
        <w:kinsoku/>
        <w:wordWrap/>
        <w:overflowPunct/>
        <w:topLinePunct w:val="0"/>
        <w:bidi w:val="0"/>
        <w:snapToGrid/>
        <w:spacing w:line="360" w:lineRule="auto"/>
        <w:ind w:left="638" w:leftChars="304"/>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承包人提交的竣工资料的费用承担：</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rPr>
        <w:t>。</w:t>
      </w:r>
    </w:p>
    <w:p w14:paraId="01C47188">
      <w:pPr>
        <w:keepLines w:val="0"/>
        <w:pageBreakBefore w:val="0"/>
        <w:widowControl w:val="0"/>
        <w:kinsoku/>
        <w:wordWrap/>
        <w:overflowPunct/>
        <w:topLinePunct w:val="0"/>
        <w:bidi w:val="0"/>
        <w:snapToGrid/>
        <w:spacing w:line="360" w:lineRule="auto"/>
        <w:ind w:left="638" w:leftChars="304"/>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承包人提交的竣工资料移交时间：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39770BD0">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承包人提交的竣工资料形式要求：</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653342E8">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（10）承包人应履行的其他义务：</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14:paraId="670CFB3F">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3.2 项目经理</w:t>
      </w:r>
    </w:p>
    <w:p w14:paraId="65CA6AB6">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 xml:space="preserve">3.2.1 </w:t>
      </w:r>
      <w:r>
        <w:rPr>
          <w:rFonts w:hint="eastAsia" w:ascii="宋体" w:hAnsi="宋体" w:eastAsia="宋体" w:cs="宋体"/>
          <w:color w:val="000000"/>
          <w:sz w:val="24"/>
          <w:highlight w:val="none"/>
        </w:rPr>
        <w:t>项目经理：</w:t>
      </w:r>
    </w:p>
    <w:p w14:paraId="46955A4B">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姓    名：</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14:paraId="538A94F7">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身份证号：</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14:paraId="2ABCD2AB">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建造师执业资格等级：</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14:paraId="57E453F8">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建造师注册证书号：</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14:paraId="70221A6F">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建造师执业印章号：</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14:paraId="7153DEA3">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安全生产考核合格证书号：</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14:paraId="297372E3">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联系电话：</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14:paraId="669F50A7">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电子信箱：</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14:paraId="29E336D9">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通信地址：</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14:paraId="0BCB7A03">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承包人对项目经理的授权范围如下：</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rPr>
        <w:t>。</w:t>
      </w:r>
    </w:p>
    <w:p w14:paraId="6FF4F895">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关于项目经理每月在施工现场的时间要求：</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rPr>
        <w:t>。</w:t>
      </w:r>
    </w:p>
    <w:p w14:paraId="70522239">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承包人未提交劳动合同，以及没有为项目经理缴纳社会保险证明的违约责任：</w:t>
      </w:r>
      <w:r>
        <w:rPr>
          <w:rFonts w:hint="eastAsia" w:ascii="宋体" w:hAnsi="宋体" w:eastAsia="宋体" w:cs="宋体"/>
          <w:color w:val="000000"/>
          <w:sz w:val="24"/>
          <w:highlight w:val="none"/>
        </w:rPr>
        <w:t>。</w:t>
      </w:r>
    </w:p>
    <w:p w14:paraId="056AED7A">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u w:val="single"/>
        </w:rPr>
      </w:pPr>
      <w:r>
        <w:rPr>
          <w:rFonts w:hint="eastAsia" w:ascii="宋体" w:hAnsi="宋体" w:eastAsia="宋体" w:cs="宋体"/>
          <w:color w:val="000000"/>
          <w:kern w:val="0"/>
          <w:sz w:val="24"/>
          <w:highlight w:val="none"/>
        </w:rPr>
        <w:t>项目经理未经批准，擅自离开施工现场的违约责任：</w:t>
      </w:r>
      <w:r>
        <w:rPr>
          <w:rFonts w:hint="eastAsia" w:ascii="宋体" w:hAnsi="宋体" w:eastAsia="宋体" w:cs="宋体"/>
          <w:color w:val="000000"/>
          <w:sz w:val="24"/>
          <w:highlight w:val="none"/>
        </w:rPr>
        <w:t>。</w:t>
      </w:r>
    </w:p>
    <w:p w14:paraId="73C3493D">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3.2.3 承包人擅自更换项目经理的违约责任：</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rPr>
        <w:t>。</w:t>
      </w:r>
    </w:p>
    <w:p w14:paraId="20F0164B">
      <w:pPr>
        <w:keepLines w:val="0"/>
        <w:pageBreakBefore w:val="0"/>
        <w:widowControl w:val="0"/>
        <w:kinsoku/>
        <w:wordWrap/>
        <w:overflowPunct/>
        <w:topLinePunct w:val="0"/>
        <w:bidi w:val="0"/>
        <w:snapToGrid/>
        <w:spacing w:line="360" w:lineRule="auto"/>
        <w:textAlignment w:val="auto"/>
        <w:outlineLvl w:val="0"/>
        <w:rPr>
          <w:rFonts w:hint="eastAsia" w:ascii="宋体" w:hAnsi="宋体" w:eastAsia="宋体" w:cs="宋体"/>
          <w:color w:val="000000"/>
          <w:sz w:val="24"/>
          <w:highlight w:val="none"/>
        </w:rPr>
      </w:pPr>
      <w:bookmarkStart w:id="439" w:name="_Toc10004"/>
      <w:bookmarkStart w:id="440" w:name="_Toc1208"/>
      <w:bookmarkStart w:id="441" w:name="_Toc11144"/>
      <w:bookmarkStart w:id="442" w:name="_Toc4066"/>
      <w:bookmarkStart w:id="443" w:name="_Toc28405"/>
      <w:bookmarkStart w:id="444" w:name="_Toc22758"/>
      <w:bookmarkStart w:id="445" w:name="_Toc32069"/>
      <w:bookmarkStart w:id="446" w:name="_Toc2850"/>
      <w:r>
        <w:rPr>
          <w:rFonts w:hint="eastAsia" w:ascii="宋体" w:hAnsi="宋体" w:eastAsia="宋体" w:cs="宋体"/>
          <w:color w:val="000000"/>
          <w:sz w:val="24"/>
          <w:highlight w:val="none"/>
        </w:rPr>
        <w:t>3.2.4 承包人无正当理由拒绝更换项目经理的违约责任：</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bookmarkEnd w:id="439"/>
      <w:bookmarkEnd w:id="440"/>
      <w:bookmarkEnd w:id="441"/>
      <w:bookmarkEnd w:id="442"/>
      <w:bookmarkEnd w:id="443"/>
      <w:bookmarkEnd w:id="444"/>
      <w:bookmarkEnd w:id="445"/>
      <w:bookmarkEnd w:id="446"/>
    </w:p>
    <w:p w14:paraId="6666512C">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3.3 承包人人员</w:t>
      </w:r>
    </w:p>
    <w:p w14:paraId="0D410F51">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3.3.1 承包人提交项目管理机构及施工现场管理人员安排报告的期限：</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30793F34">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3.3.3 承包人无正当理由拒绝撤换主要施工管理人员的违约责任：</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0DB4C4B9">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3.3.4 承包人主要施工管理人员离开施工现场的批准要求</w:t>
      </w:r>
      <w:r>
        <w:rPr>
          <w:rFonts w:hint="eastAsia" w:ascii="宋体" w:hAnsi="宋体" w:eastAsia="宋体" w:cs="宋体"/>
          <w:color w:val="000000"/>
          <w:sz w:val="24"/>
          <w:highlight w:val="none"/>
          <w:u w:val="single"/>
        </w:rPr>
        <w:t>：由发包人、总监理工程师书面批准后方可离开</w:t>
      </w:r>
      <w:r>
        <w:rPr>
          <w:rFonts w:hint="eastAsia" w:ascii="宋体" w:hAnsi="宋体" w:eastAsia="宋体" w:cs="宋体"/>
          <w:color w:val="000000"/>
          <w:sz w:val="24"/>
          <w:highlight w:val="none"/>
        </w:rPr>
        <w:t>。</w:t>
      </w:r>
    </w:p>
    <w:p w14:paraId="44ECD053">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3.3.5承包人擅自更换主要施工管理人员的违约责任：</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274B6102">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承包人主要施工管理人员擅自离开施工现场的违约责任</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337AC193">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bookmarkStart w:id="447" w:name="_Toc297123492"/>
      <w:bookmarkStart w:id="448" w:name="_Toc297048345"/>
      <w:bookmarkStart w:id="449" w:name="_Toc303539102"/>
      <w:bookmarkStart w:id="450" w:name="_Toc296346660"/>
      <w:bookmarkStart w:id="451" w:name="_Toc296891199"/>
      <w:bookmarkStart w:id="452" w:name="_Toc296944498"/>
      <w:bookmarkStart w:id="453" w:name="_Toc304295523"/>
      <w:bookmarkStart w:id="454" w:name="_Toc296503159"/>
      <w:bookmarkStart w:id="455" w:name="_Toc297216151"/>
      <w:bookmarkStart w:id="456" w:name="_Toc292559364"/>
      <w:bookmarkStart w:id="457" w:name="_Toc296347158"/>
      <w:bookmarkStart w:id="458" w:name="_Toc297120459"/>
      <w:bookmarkStart w:id="459" w:name="_Toc300934945"/>
      <w:bookmarkStart w:id="460" w:name="_Toc292559869"/>
      <w:bookmarkStart w:id="461" w:name="_Toc296890987"/>
      <w:bookmarkStart w:id="462" w:name="_Toc312677988"/>
      <w:r>
        <w:rPr>
          <w:rFonts w:hint="eastAsia" w:ascii="宋体" w:hAnsi="宋体" w:eastAsia="宋体" w:cs="宋体"/>
          <w:color w:val="000000"/>
          <w:sz w:val="24"/>
          <w:highlight w:val="none"/>
        </w:rPr>
        <w:t>.5 分包</w:t>
      </w:r>
    </w:p>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14:paraId="455FCEEC">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w:t>
      </w:r>
      <w:bookmarkStart w:id="463" w:name="_Toc296346661"/>
      <w:bookmarkStart w:id="464" w:name="_Toc296890988"/>
      <w:bookmarkStart w:id="465" w:name="_Toc296891200"/>
      <w:bookmarkStart w:id="466" w:name="_Toc292559365"/>
      <w:bookmarkStart w:id="467" w:name="_Toc296347159"/>
      <w:bookmarkStart w:id="468" w:name="_Toc304295524"/>
      <w:bookmarkStart w:id="469" w:name="_Toc297120460"/>
      <w:bookmarkStart w:id="470" w:name="_Toc297216152"/>
      <w:bookmarkStart w:id="471" w:name="_Toc296944499"/>
      <w:bookmarkStart w:id="472" w:name="_Toc303539103"/>
      <w:bookmarkStart w:id="473" w:name="_Toc296503160"/>
      <w:bookmarkStart w:id="474" w:name="_Toc300934946"/>
      <w:bookmarkStart w:id="475" w:name="_Toc297123493"/>
      <w:bookmarkStart w:id="476" w:name="_Toc292559870"/>
      <w:bookmarkStart w:id="477" w:name="_Toc297048346"/>
      <w:bookmarkStart w:id="478" w:name="_Toc312677989"/>
      <w:bookmarkStart w:id="479" w:name="_Toc318581158"/>
      <w:r>
        <w:rPr>
          <w:rFonts w:hint="eastAsia" w:ascii="宋体" w:hAnsi="宋体" w:eastAsia="宋体" w:cs="宋体"/>
          <w:sz w:val="24"/>
          <w:highlight w:val="none"/>
        </w:rPr>
        <w:t>.5.1 分包的一般约定</w:t>
      </w:r>
    </w:p>
    <w:p w14:paraId="2FD84D50">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禁止分包的工程包括：</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w:t>
      </w:r>
    </w:p>
    <w:p w14:paraId="5D757054">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sz w:val="24"/>
          <w:highlight w:val="none"/>
        </w:rPr>
        <w:t>主体结构、关键性工作的范围：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Start w:id="480" w:name="_Toc297120461"/>
      <w:bookmarkStart w:id="481" w:name="_Toc297048347"/>
      <w:bookmarkStart w:id="482" w:name="_Toc296890989"/>
      <w:bookmarkStart w:id="483" w:name="_Toc296891201"/>
      <w:bookmarkStart w:id="484" w:name="_Toc296944500"/>
      <w:bookmarkStart w:id="485" w:name="_Toc296347160"/>
      <w:bookmarkStart w:id="486" w:name="_Toc297216153"/>
      <w:bookmarkStart w:id="487" w:name="_Toc296346662"/>
      <w:bookmarkStart w:id="488" w:name="_Toc296503161"/>
      <w:bookmarkStart w:id="489" w:name="_Toc297123494"/>
      <w:bookmarkStart w:id="490" w:name="_Toc304295525"/>
      <w:bookmarkStart w:id="491" w:name="_Toc300934947"/>
      <w:bookmarkStart w:id="492" w:name="_Toc303539104"/>
    </w:p>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14:paraId="45587700">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    3</w:t>
      </w:r>
      <w:bookmarkStart w:id="493" w:name="_Toc318581159"/>
      <w:bookmarkStart w:id="494" w:name="_Toc312677990"/>
      <w:r>
        <w:rPr>
          <w:rFonts w:hint="eastAsia" w:ascii="宋体" w:hAnsi="宋体" w:eastAsia="宋体" w:cs="宋体"/>
          <w:sz w:val="24"/>
          <w:highlight w:val="none"/>
        </w:rPr>
        <w:t>.5.2分包的确定</w:t>
      </w:r>
    </w:p>
    <w:p w14:paraId="5A99A7BA">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u w:val="single"/>
        </w:rPr>
      </w:pPr>
      <w:r>
        <w:rPr>
          <w:rFonts w:hint="eastAsia" w:ascii="宋体" w:hAnsi="宋体" w:eastAsia="宋体" w:cs="宋体"/>
          <w:sz w:val="24"/>
          <w:highlight w:val="none"/>
        </w:rPr>
        <w:t>允许分包的专业工程包括：</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4BEFFF10">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其他关于分包的约定：。</w:t>
      </w:r>
    </w:p>
    <w:p w14:paraId="356D0C22">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3.5.4 分包合同价款</w:t>
      </w:r>
    </w:p>
    <w:p w14:paraId="34FE29B9">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关于分包合同价款支付的约定：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bookmarkEnd w:id="493"/>
    <w:bookmarkEnd w:id="494"/>
    <w:p w14:paraId="0892F817">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3.6 工程照管与成品、半成品保护</w:t>
      </w:r>
    </w:p>
    <w:p w14:paraId="2D9F16FC">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rPr>
        <w:t>承包人负责照管工程及工程相关的材料、工程设备的起始时间：</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7AC27A66">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3.7 履约担保</w:t>
      </w:r>
    </w:p>
    <w:p w14:paraId="080A9F2D">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承包人是否提供履约担保：</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w:t>
      </w:r>
    </w:p>
    <w:p w14:paraId="3C64E99D">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承包人提供履约担保的形式、金额及期限的：</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w:t>
      </w:r>
    </w:p>
    <w:p w14:paraId="7D42FF83">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495" w:name="_Toc351203636"/>
      <w:r>
        <w:rPr>
          <w:rFonts w:hint="eastAsia" w:ascii="宋体" w:hAnsi="宋体" w:eastAsia="宋体" w:cs="宋体"/>
          <w:bCs/>
          <w:color w:val="000000"/>
          <w:sz w:val="24"/>
          <w:highlight w:val="none"/>
        </w:rPr>
        <w:t>4</w:t>
      </w:r>
      <w:bookmarkStart w:id="496" w:name="_Toc296891202"/>
      <w:bookmarkStart w:id="497" w:name="_Toc296347161"/>
      <w:bookmarkStart w:id="498" w:name="_Toc296944501"/>
      <w:bookmarkStart w:id="499" w:name="_Toc296346663"/>
      <w:bookmarkStart w:id="500" w:name="_Toc267251413"/>
      <w:bookmarkStart w:id="501" w:name="_Toc292559871"/>
      <w:bookmarkStart w:id="502" w:name="_Toc292559366"/>
      <w:bookmarkStart w:id="503" w:name="_Toc296503162"/>
      <w:bookmarkStart w:id="504" w:name="_Toc296890990"/>
      <w:bookmarkStart w:id="505" w:name="_Toc297048348"/>
      <w:bookmarkStart w:id="506" w:name="_Toc297120462"/>
      <w:r>
        <w:rPr>
          <w:rFonts w:hint="eastAsia" w:ascii="宋体" w:hAnsi="宋体" w:eastAsia="宋体" w:cs="宋体"/>
          <w:bCs/>
          <w:color w:val="000000"/>
          <w:sz w:val="24"/>
          <w:highlight w:val="none"/>
        </w:rPr>
        <w:t>. 监</w:t>
      </w:r>
      <w:bookmarkEnd w:id="496"/>
      <w:bookmarkEnd w:id="497"/>
      <w:bookmarkEnd w:id="498"/>
      <w:bookmarkEnd w:id="499"/>
      <w:bookmarkEnd w:id="500"/>
      <w:bookmarkEnd w:id="501"/>
      <w:bookmarkEnd w:id="502"/>
      <w:bookmarkEnd w:id="503"/>
      <w:bookmarkEnd w:id="504"/>
      <w:bookmarkEnd w:id="505"/>
      <w:bookmarkEnd w:id="506"/>
      <w:r>
        <w:rPr>
          <w:rFonts w:hint="eastAsia" w:ascii="宋体" w:hAnsi="宋体" w:eastAsia="宋体" w:cs="宋体"/>
          <w:bCs/>
          <w:color w:val="000000"/>
          <w:sz w:val="24"/>
          <w:highlight w:val="none"/>
        </w:rPr>
        <w:t>理人</w:t>
      </w:r>
      <w:bookmarkEnd w:id="495"/>
    </w:p>
    <w:p w14:paraId="002263DC">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4.1监理人的一般规定</w:t>
      </w:r>
    </w:p>
    <w:p w14:paraId="3FBB9267">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关于监理人的监理内容：</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w:t>
      </w:r>
    </w:p>
    <w:p w14:paraId="2C1FACB1">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关于监理人的监理权限：</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 xml:space="preserve">。 </w:t>
      </w:r>
    </w:p>
    <w:p w14:paraId="3F19BF7B">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关于监理人在施工现场的办公场所、生活场所的提供和费用承担的约定：</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w:t>
      </w:r>
    </w:p>
    <w:p w14:paraId="39843C22">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4.2 监理人员</w:t>
      </w:r>
    </w:p>
    <w:p w14:paraId="5BEDFB4A">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总监理工程师：</w:t>
      </w:r>
    </w:p>
    <w:p w14:paraId="2E278D0F">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姓    名：</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14:paraId="172595B3">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职    务：</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14:paraId="73EE09A0">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监理工程师执业资格证书号：</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14:paraId="2662ACF3">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联系电话：</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14:paraId="4E7E640C">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电子信箱：</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14:paraId="54CCCC71">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通信地址：</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14:paraId="3A6C33ED">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关于监理人的其他约定：</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14:paraId="03A9EF1C">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4.4 商定或确定</w:t>
      </w:r>
    </w:p>
    <w:p w14:paraId="2EE6618D">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bookmarkStart w:id="507" w:name="_Toc267251418"/>
      <w:r>
        <w:rPr>
          <w:rFonts w:hint="eastAsia" w:ascii="宋体" w:hAnsi="宋体" w:eastAsia="宋体" w:cs="宋体"/>
          <w:color w:val="000000"/>
          <w:sz w:val="24"/>
          <w:highlight w:val="none"/>
        </w:rPr>
        <w:t>在发包人和承包人不能通过协商达成一致意见时，发包人授权监理人对以下事项进行确定：</w:t>
      </w:r>
    </w:p>
    <w:p w14:paraId="413CABC5">
      <w:pPr>
        <w:keepLines w:val="0"/>
        <w:pageBreakBefore w:val="0"/>
        <w:widowControl w:val="0"/>
        <w:numPr>
          <w:ilvl w:val="0"/>
          <w:numId w:val="3"/>
        </w:numPr>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u w:val="single"/>
          <w:lang w:val="en-US" w:eastAsia="zh-CN"/>
        </w:rPr>
        <w:t xml:space="preserve">         /            </w:t>
      </w:r>
      <w:r>
        <w:rPr>
          <w:rFonts w:hint="eastAsia" w:ascii="宋体" w:hAnsi="宋体" w:eastAsia="宋体" w:cs="宋体"/>
          <w:color w:val="000000"/>
          <w:sz w:val="24"/>
          <w:highlight w:val="none"/>
        </w:rPr>
        <w:t>；</w:t>
      </w:r>
    </w:p>
    <w:p w14:paraId="3EC9D4F5">
      <w:pPr>
        <w:keepLines w:val="0"/>
        <w:pageBreakBefore w:val="0"/>
        <w:widowControl w:val="0"/>
        <w:numPr>
          <w:ilvl w:val="0"/>
          <w:numId w:val="3"/>
        </w:numPr>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u w:val="single"/>
          <w:lang w:val="en-US" w:eastAsia="zh-CN"/>
        </w:rPr>
        <w:t xml:space="preserve">        /             </w:t>
      </w:r>
      <w:r>
        <w:rPr>
          <w:rFonts w:hint="eastAsia" w:ascii="宋体" w:hAnsi="宋体" w:eastAsia="宋体" w:cs="宋体"/>
          <w:color w:val="000000"/>
          <w:sz w:val="24"/>
          <w:highlight w:val="none"/>
        </w:rPr>
        <w:t>；</w:t>
      </w:r>
    </w:p>
    <w:p w14:paraId="3AB91BFC">
      <w:pPr>
        <w:keepLines w:val="0"/>
        <w:pageBreakBefore w:val="0"/>
        <w:widowControl w:val="0"/>
        <w:numPr>
          <w:ilvl w:val="0"/>
          <w:numId w:val="3"/>
        </w:numPr>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u w:val="single"/>
          <w:lang w:val="en-US" w:eastAsia="zh-CN"/>
        </w:rPr>
        <w:t xml:space="preserve">        /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w:t>
      </w:r>
    </w:p>
    <w:p w14:paraId="1D35E9A7">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508" w:name="_Toc351203637"/>
      <w:r>
        <w:rPr>
          <w:rFonts w:hint="eastAsia" w:ascii="宋体" w:hAnsi="宋体" w:eastAsia="宋体" w:cs="宋体"/>
          <w:bCs/>
          <w:color w:val="000000"/>
          <w:sz w:val="24"/>
          <w:highlight w:val="none"/>
        </w:rPr>
        <w:t>5</w:t>
      </w:r>
      <w:bookmarkEnd w:id="507"/>
      <w:bookmarkStart w:id="509" w:name="_Toc296944502"/>
      <w:bookmarkStart w:id="510" w:name="_Toc296346664"/>
      <w:bookmarkStart w:id="511" w:name="_Toc296503163"/>
      <w:bookmarkStart w:id="512" w:name="_Toc296347162"/>
      <w:bookmarkStart w:id="513" w:name="_Toc297048349"/>
      <w:bookmarkStart w:id="514" w:name="_Toc292559872"/>
      <w:bookmarkStart w:id="515" w:name="_Toc296890991"/>
      <w:bookmarkStart w:id="516" w:name="_Toc297120463"/>
      <w:bookmarkStart w:id="517" w:name="_Toc292559367"/>
      <w:bookmarkStart w:id="518" w:name="_Toc296891203"/>
      <w:r>
        <w:rPr>
          <w:rFonts w:hint="eastAsia" w:ascii="宋体" w:hAnsi="宋体" w:eastAsia="宋体" w:cs="宋体"/>
          <w:bCs/>
          <w:color w:val="000000"/>
          <w:sz w:val="24"/>
          <w:highlight w:val="none"/>
        </w:rPr>
        <w:t>. 工程质量</w:t>
      </w:r>
      <w:bookmarkEnd w:id="508"/>
    </w:p>
    <w:p w14:paraId="1E42FBAE">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519" w:name="_Toc2875"/>
      <w:bookmarkStart w:id="520" w:name="_Toc2356"/>
      <w:bookmarkStart w:id="521" w:name="_Toc4622"/>
      <w:bookmarkStart w:id="522" w:name="_Toc32292"/>
      <w:bookmarkStart w:id="523" w:name="_Toc9823"/>
      <w:bookmarkStart w:id="524" w:name="_Toc12313"/>
      <w:bookmarkStart w:id="525" w:name="_Toc15305"/>
      <w:r>
        <w:rPr>
          <w:rFonts w:hint="eastAsia" w:ascii="宋体" w:hAnsi="宋体" w:eastAsia="宋体" w:cs="宋体"/>
          <w:color w:val="000000"/>
          <w:sz w:val="24"/>
          <w:highlight w:val="none"/>
        </w:rPr>
        <w:t>5.1 质量要求</w:t>
      </w:r>
      <w:bookmarkEnd w:id="519"/>
      <w:bookmarkEnd w:id="520"/>
      <w:bookmarkEnd w:id="521"/>
      <w:bookmarkEnd w:id="522"/>
      <w:bookmarkEnd w:id="523"/>
      <w:bookmarkEnd w:id="524"/>
      <w:bookmarkEnd w:id="525"/>
    </w:p>
    <w:p w14:paraId="7EEA4266">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5</w:t>
      </w:r>
      <w:bookmarkStart w:id="526" w:name="_Toc297123496"/>
      <w:bookmarkStart w:id="527" w:name="_Toc312677997"/>
      <w:bookmarkStart w:id="528" w:name="_Toc304295527"/>
      <w:bookmarkStart w:id="529" w:name="_Toc300934949"/>
      <w:bookmarkStart w:id="530" w:name="_Toc318581164"/>
      <w:bookmarkStart w:id="531" w:name="_Toc303539106"/>
      <w:bookmarkStart w:id="532" w:name="_Toc297216155"/>
      <w:r>
        <w:rPr>
          <w:rFonts w:hint="eastAsia" w:ascii="宋体" w:hAnsi="宋体" w:eastAsia="宋体" w:cs="宋体"/>
          <w:sz w:val="24"/>
          <w:highlight w:val="none"/>
        </w:rPr>
        <w:t>.1.1 特殊质量标准和要求：</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w:t>
      </w:r>
    </w:p>
    <w:p w14:paraId="44C1229B">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关于工程奖项的约定：</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w:t>
      </w:r>
    </w:p>
    <w:p w14:paraId="24E5D0C5">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533" w:name="_Toc26764"/>
      <w:bookmarkStart w:id="534" w:name="_Toc32163"/>
      <w:bookmarkStart w:id="535" w:name="_Toc14360"/>
      <w:bookmarkStart w:id="536" w:name="_Toc8221"/>
      <w:bookmarkStart w:id="537" w:name="_Toc24314"/>
      <w:bookmarkStart w:id="538" w:name="_Toc3014"/>
      <w:bookmarkStart w:id="539" w:name="_Toc22378"/>
      <w:bookmarkStart w:id="540" w:name="_Toc18807"/>
      <w:r>
        <w:rPr>
          <w:rFonts w:hint="eastAsia" w:ascii="宋体" w:hAnsi="宋体" w:eastAsia="宋体" w:cs="宋体"/>
          <w:color w:val="000000"/>
          <w:sz w:val="24"/>
          <w:highlight w:val="none"/>
        </w:rPr>
        <w:t>5.3 隐蔽工程检查</w:t>
      </w:r>
      <w:bookmarkEnd w:id="533"/>
      <w:bookmarkEnd w:id="534"/>
      <w:bookmarkEnd w:id="535"/>
      <w:bookmarkEnd w:id="536"/>
      <w:bookmarkEnd w:id="537"/>
      <w:bookmarkEnd w:id="538"/>
      <w:bookmarkEnd w:id="539"/>
      <w:bookmarkEnd w:id="540"/>
    </w:p>
    <w:p w14:paraId="5B2B1518">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5.3.2承包人提前通知监理人隐蔽工程检查的期限的约定：</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w:t>
      </w:r>
    </w:p>
    <w:p w14:paraId="11F8154B">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监理人不能按时进行检查时，应提前小时提交书面延期要求。</w:t>
      </w:r>
    </w:p>
    <w:p w14:paraId="18D8D64E">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关于延期最长不得超过：</w:t>
      </w:r>
      <w:r>
        <w:rPr>
          <w:rFonts w:hint="eastAsia" w:ascii="宋体" w:hAnsi="宋体" w:eastAsia="宋体" w:cs="宋体"/>
          <w:sz w:val="24"/>
          <w:highlight w:val="none"/>
          <w:u w:val="single"/>
          <w:lang w:val="en-US" w:eastAsia="zh-CN"/>
        </w:rPr>
        <w:t xml:space="preserve">    /   </w:t>
      </w:r>
      <w:r>
        <w:rPr>
          <w:rFonts w:hint="eastAsia" w:ascii="宋体" w:hAnsi="宋体" w:eastAsia="宋体" w:cs="宋体"/>
          <w:sz w:val="24"/>
          <w:highlight w:val="none"/>
        </w:rPr>
        <w:t>小时。</w:t>
      </w:r>
    </w:p>
    <w:p w14:paraId="7EAB5B66">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541" w:name="_Toc351203638"/>
      <w:r>
        <w:rPr>
          <w:rFonts w:hint="eastAsia" w:ascii="宋体" w:hAnsi="宋体" w:eastAsia="宋体" w:cs="宋体"/>
          <w:bCs/>
          <w:color w:val="000000"/>
          <w:sz w:val="24"/>
          <w:highlight w:val="none"/>
        </w:rPr>
        <w:t>6. 安全文明施工与环境保护</w:t>
      </w:r>
      <w:bookmarkEnd w:id="541"/>
    </w:p>
    <w:p w14:paraId="01F8F473">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6.1安全文明施工</w:t>
      </w:r>
    </w:p>
    <w:p w14:paraId="4998E7A1">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6.1.1</w:t>
      </w:r>
      <w:r>
        <w:rPr>
          <w:rFonts w:hint="eastAsia" w:ascii="宋体" w:hAnsi="宋体" w:eastAsia="宋体" w:cs="宋体"/>
          <w:color w:val="000000"/>
          <w:sz w:val="24"/>
          <w:highlight w:val="none"/>
        </w:rPr>
        <w:t xml:space="preserve"> 项目安全生产的达标目标及相应事项的约定：</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sz w:val="24"/>
          <w:highlight w:val="none"/>
        </w:rPr>
        <w:t>。</w:t>
      </w:r>
    </w:p>
    <w:p w14:paraId="75A75E58">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6.1.4 关于治安保卫的特别约定：</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w:t>
      </w:r>
    </w:p>
    <w:p w14:paraId="34993E0B">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关于编制施工场地治安管理计划的约定：</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w:t>
      </w:r>
    </w:p>
    <w:p w14:paraId="17B4E5B2">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6.1.5 文明施工</w:t>
      </w:r>
    </w:p>
    <w:p w14:paraId="24FD190A">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合同当事人对文明施工的要求：</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w:t>
      </w:r>
    </w:p>
    <w:p w14:paraId="45A7EBE7">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6.1.6 关于安全文明施工费支付比例和支付期限的约定：</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w:t>
      </w:r>
    </w:p>
    <w:bookmarkEnd w:id="526"/>
    <w:bookmarkEnd w:id="527"/>
    <w:bookmarkEnd w:id="528"/>
    <w:bookmarkEnd w:id="529"/>
    <w:bookmarkEnd w:id="530"/>
    <w:bookmarkEnd w:id="531"/>
    <w:bookmarkEnd w:id="532"/>
    <w:p w14:paraId="76CC987D">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542" w:name="_Toc351203639"/>
      <w:r>
        <w:rPr>
          <w:rFonts w:hint="eastAsia" w:ascii="宋体" w:hAnsi="宋体" w:eastAsia="宋体" w:cs="宋体"/>
          <w:bCs/>
          <w:color w:val="000000"/>
          <w:sz w:val="24"/>
          <w:highlight w:val="none"/>
        </w:rPr>
        <w:t>7. 工期和进度</w:t>
      </w:r>
      <w:bookmarkEnd w:id="542"/>
    </w:p>
    <w:p w14:paraId="355CACD5">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7.1 施工组织设计</w:t>
      </w:r>
    </w:p>
    <w:p w14:paraId="6127A1F1">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 xml:space="preserve">7.1.1 </w:t>
      </w:r>
      <w:r>
        <w:rPr>
          <w:rFonts w:hint="eastAsia" w:ascii="宋体" w:hAnsi="宋体" w:eastAsia="宋体" w:cs="宋体"/>
          <w:color w:val="000000"/>
          <w:sz w:val="24"/>
          <w:highlight w:val="none"/>
        </w:rPr>
        <w:t>合</w:t>
      </w:r>
      <w:r>
        <w:rPr>
          <w:rFonts w:hint="eastAsia" w:ascii="宋体" w:hAnsi="宋体" w:eastAsia="宋体" w:cs="宋体"/>
          <w:color w:val="000000"/>
          <w:kern w:val="0"/>
          <w:sz w:val="24"/>
          <w:highlight w:val="none"/>
        </w:rPr>
        <w:t>同当事人约定的施工组织设计应包括的其他内容：</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lang w:val="en-US" w:eastAsia="zh-CN"/>
        </w:rPr>
        <w:t xml:space="preserve"> </w:t>
      </w:r>
      <w:r>
        <w:rPr>
          <w:rFonts w:hint="eastAsia" w:ascii="宋体" w:hAnsi="宋体" w:eastAsia="宋体" w:cs="宋体"/>
          <w:sz w:val="24"/>
          <w:highlight w:val="none"/>
        </w:rPr>
        <w:t>。</w:t>
      </w:r>
    </w:p>
    <w:p w14:paraId="0EBA7292">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sz w:val="24"/>
          <w:highlight w:val="none"/>
        </w:rPr>
        <w:t>7.1.2</w:t>
      </w:r>
      <w:r>
        <w:rPr>
          <w:rFonts w:hint="eastAsia" w:ascii="宋体" w:hAnsi="宋体" w:eastAsia="宋体" w:cs="宋体"/>
          <w:color w:val="000000"/>
          <w:kern w:val="0"/>
          <w:sz w:val="24"/>
          <w:highlight w:val="none"/>
        </w:rPr>
        <w:t>施工组织设计的提交和修改</w:t>
      </w:r>
    </w:p>
    <w:p w14:paraId="2D5EEBC0">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color w:val="000000"/>
          <w:kern w:val="0"/>
          <w:sz w:val="24"/>
          <w:highlight w:val="none"/>
        </w:rPr>
        <w:t>承包人提交详细施工组织设计的期限的约定：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lang w:val="en-US" w:eastAsia="zh-CN"/>
        </w:rPr>
        <w:t xml:space="preserve"> </w:t>
      </w:r>
      <w:r>
        <w:rPr>
          <w:rFonts w:hint="eastAsia" w:ascii="宋体" w:hAnsi="宋体" w:eastAsia="宋体" w:cs="宋体"/>
          <w:sz w:val="24"/>
          <w:highlight w:val="none"/>
        </w:rPr>
        <w:t>。</w:t>
      </w:r>
    </w:p>
    <w:p w14:paraId="3F6135A2">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发包人和监理人在收到详细的施工组织设计后确认或提出修改意见的期限：</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sz w:val="24"/>
          <w:highlight w:val="none"/>
        </w:rPr>
        <w:t>。</w:t>
      </w:r>
    </w:p>
    <w:p w14:paraId="595C5F8C">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w:t>
      </w:r>
      <w:bookmarkStart w:id="543" w:name="_Toc303539123"/>
      <w:bookmarkStart w:id="544" w:name="_Toc312678005"/>
      <w:bookmarkStart w:id="545" w:name="_Toc304295541"/>
      <w:bookmarkStart w:id="546" w:name="_Toc300934966"/>
      <w:bookmarkStart w:id="547" w:name="_Toc312677479"/>
      <w:bookmarkStart w:id="548" w:name="_Toc297216173"/>
      <w:bookmarkStart w:id="549" w:name="_Toc297123514"/>
      <w:r>
        <w:rPr>
          <w:rFonts w:hint="eastAsia" w:ascii="宋体" w:hAnsi="宋体" w:eastAsia="宋体" w:cs="宋体"/>
          <w:color w:val="000000"/>
          <w:sz w:val="24"/>
          <w:highlight w:val="none"/>
        </w:rPr>
        <w:t>.2 施工进度计划</w:t>
      </w:r>
    </w:p>
    <w:p w14:paraId="314DE733">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7.2.2 施工进度计划的修订</w:t>
      </w:r>
    </w:p>
    <w:p w14:paraId="6A85DFF4">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发包人和监理人在收到修订的施工进度计划后确认或提出修改意见的期限：</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sz w:val="24"/>
          <w:highlight w:val="none"/>
        </w:rPr>
        <w:t>。</w:t>
      </w:r>
    </w:p>
    <w:p w14:paraId="7616603F">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7.3 开工</w:t>
      </w:r>
    </w:p>
    <w:p w14:paraId="36E4051B">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7.3.1 开工准备</w:t>
      </w:r>
    </w:p>
    <w:p w14:paraId="2BCDAEE2">
      <w:pPr>
        <w:keepLines w:val="0"/>
        <w:pageBreakBefore w:val="0"/>
        <w:widowControl w:val="0"/>
        <w:kinsoku/>
        <w:wordWrap/>
        <w:overflowPunct/>
        <w:topLinePunct w:val="0"/>
        <w:bidi w:val="0"/>
        <w:snapToGrid/>
        <w:spacing w:line="360" w:lineRule="auto"/>
        <w:ind w:firstLine="645"/>
        <w:jc w:val="left"/>
        <w:textAlignment w:val="auto"/>
        <w:rPr>
          <w:rFonts w:hint="eastAsia" w:ascii="宋体" w:hAnsi="宋体" w:eastAsia="宋体" w:cs="宋体"/>
          <w:sz w:val="24"/>
          <w:highlight w:val="none"/>
          <w:u w:val="single"/>
        </w:rPr>
      </w:pPr>
      <w:r>
        <w:rPr>
          <w:rFonts w:hint="eastAsia" w:ascii="宋体" w:hAnsi="宋体" w:eastAsia="宋体" w:cs="宋体"/>
          <w:color w:val="000000"/>
          <w:sz w:val="24"/>
          <w:highlight w:val="none"/>
        </w:rPr>
        <w:t>关于承包人提交</w:t>
      </w:r>
      <w:r>
        <w:rPr>
          <w:rFonts w:hint="eastAsia" w:ascii="宋体" w:hAnsi="宋体" w:eastAsia="宋体" w:cs="宋体"/>
          <w:color w:val="000000"/>
          <w:kern w:val="0"/>
          <w:sz w:val="24"/>
          <w:highlight w:val="none"/>
        </w:rPr>
        <w:t>工程开工报审表的期限：</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sz w:val="24"/>
          <w:highlight w:val="none"/>
        </w:rPr>
        <w:t>。</w:t>
      </w:r>
    </w:p>
    <w:p w14:paraId="6E9CEBFB">
      <w:pPr>
        <w:keepLines w:val="0"/>
        <w:pageBreakBefore w:val="0"/>
        <w:widowControl w:val="0"/>
        <w:kinsoku/>
        <w:wordWrap/>
        <w:overflowPunct/>
        <w:topLinePunct w:val="0"/>
        <w:bidi w:val="0"/>
        <w:snapToGrid/>
        <w:spacing w:line="360" w:lineRule="auto"/>
        <w:ind w:firstLine="645"/>
        <w:jc w:val="left"/>
        <w:textAlignment w:val="auto"/>
        <w:rPr>
          <w:rFonts w:hint="eastAsia" w:ascii="宋体" w:hAnsi="宋体" w:eastAsia="宋体" w:cs="宋体"/>
          <w:sz w:val="24"/>
          <w:highlight w:val="none"/>
          <w:u w:val="single"/>
        </w:rPr>
      </w:pPr>
      <w:r>
        <w:rPr>
          <w:rFonts w:hint="eastAsia" w:ascii="宋体" w:hAnsi="宋体" w:eastAsia="宋体" w:cs="宋体"/>
          <w:color w:val="000000"/>
          <w:sz w:val="24"/>
          <w:highlight w:val="none"/>
        </w:rPr>
        <w:t>关于发包人应完成的其他开工准备工作及期限：</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sz w:val="24"/>
          <w:highlight w:val="none"/>
        </w:rPr>
        <w:t>。</w:t>
      </w:r>
    </w:p>
    <w:p w14:paraId="6366754E">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color w:val="000000"/>
          <w:sz w:val="24"/>
          <w:highlight w:val="none"/>
        </w:rPr>
        <w:t>关于承包人应完成的其他开工准备工作及期限：</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sz w:val="24"/>
          <w:highlight w:val="none"/>
        </w:rPr>
        <w:t>。</w:t>
      </w:r>
    </w:p>
    <w:p w14:paraId="643C145C">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7.3.2开工通知</w:t>
      </w:r>
    </w:p>
    <w:p w14:paraId="65659F23">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因发包人原因造成监理人未能在计划开工日期之日起天内发出开工通知的，承包人有权提出价格调整要求，或者解除合同。</w:t>
      </w:r>
    </w:p>
    <w:bookmarkEnd w:id="543"/>
    <w:bookmarkEnd w:id="544"/>
    <w:bookmarkEnd w:id="545"/>
    <w:bookmarkEnd w:id="546"/>
    <w:bookmarkEnd w:id="547"/>
    <w:bookmarkEnd w:id="548"/>
    <w:bookmarkEnd w:id="549"/>
    <w:p w14:paraId="707FFDB9">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7.4 测量放线</w:t>
      </w:r>
    </w:p>
    <w:p w14:paraId="72D23B57">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7.4.1发包人通过监理人向承包人提供测量基准点、基准线和水准点及其书面资料的期限：</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w:t>
      </w:r>
    </w:p>
    <w:p w14:paraId="58847FF1">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w:t>
      </w:r>
      <w:bookmarkStart w:id="550" w:name="_Toc312677484"/>
      <w:bookmarkStart w:id="551" w:name="_Toc300934968"/>
      <w:bookmarkStart w:id="552" w:name="_Toc297123516"/>
      <w:bookmarkStart w:id="553" w:name="_Toc297216175"/>
      <w:bookmarkStart w:id="554" w:name="_Toc304295546"/>
      <w:bookmarkStart w:id="555" w:name="_Toc303539125"/>
      <w:bookmarkStart w:id="556" w:name="_Toc312678010"/>
      <w:r>
        <w:rPr>
          <w:rFonts w:hint="eastAsia" w:ascii="宋体" w:hAnsi="宋体" w:eastAsia="宋体" w:cs="宋体"/>
          <w:color w:val="000000"/>
          <w:sz w:val="24"/>
          <w:highlight w:val="none"/>
        </w:rPr>
        <w:t>.5 工期延误</w:t>
      </w:r>
    </w:p>
    <w:bookmarkEnd w:id="550"/>
    <w:bookmarkEnd w:id="551"/>
    <w:bookmarkEnd w:id="552"/>
    <w:bookmarkEnd w:id="553"/>
    <w:bookmarkEnd w:id="554"/>
    <w:bookmarkEnd w:id="555"/>
    <w:bookmarkEnd w:id="556"/>
    <w:p w14:paraId="6CF11538">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7.5.1 因发包人原因导致工期延误</w:t>
      </w:r>
    </w:p>
    <w:p w14:paraId="5B57C2BE">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（7）因发包人原因导致工期延误的其他情形：</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w:t>
      </w:r>
    </w:p>
    <w:p w14:paraId="38035F3F">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7</w:t>
      </w:r>
      <w:bookmarkStart w:id="557" w:name="_Toc318581169"/>
      <w:bookmarkStart w:id="558" w:name="_Toc312677486"/>
      <w:bookmarkStart w:id="559" w:name="_Toc312678012"/>
      <w:bookmarkStart w:id="560" w:name="_Toc303539127"/>
      <w:bookmarkStart w:id="561" w:name="_Toc304295548"/>
      <w:bookmarkStart w:id="562" w:name="_Toc297123518"/>
      <w:bookmarkStart w:id="563" w:name="_Toc300934970"/>
      <w:bookmarkStart w:id="564" w:name="_Toc297216177"/>
      <w:r>
        <w:rPr>
          <w:rFonts w:hint="eastAsia" w:ascii="宋体" w:hAnsi="宋体" w:eastAsia="宋体" w:cs="宋体"/>
          <w:sz w:val="24"/>
          <w:highlight w:val="none"/>
        </w:rPr>
        <w:t>.5.2 因承包人原因导致工期延误</w:t>
      </w:r>
    </w:p>
    <w:bookmarkEnd w:id="557"/>
    <w:bookmarkEnd w:id="558"/>
    <w:bookmarkEnd w:id="559"/>
    <w:p w14:paraId="6E0492CF">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因</w:t>
      </w:r>
      <w:bookmarkStart w:id="565" w:name="_Toc312677487"/>
      <w:bookmarkStart w:id="566" w:name="_Toc312678013"/>
      <w:bookmarkStart w:id="567" w:name="_Toc318581170"/>
      <w:r>
        <w:rPr>
          <w:rFonts w:hint="eastAsia" w:ascii="宋体" w:hAnsi="宋体" w:eastAsia="宋体" w:cs="宋体"/>
          <w:sz w:val="24"/>
          <w:highlight w:val="none"/>
        </w:rPr>
        <w:t>承包人原因造成工期延误，逾期竣工违约金的计算方法为：</w:t>
      </w:r>
      <w:r>
        <w:rPr>
          <w:rFonts w:hint="eastAsia" w:ascii="宋体" w:hAnsi="宋体" w:eastAsia="宋体" w:cs="宋体"/>
          <w:color w:val="000000"/>
          <w:sz w:val="24"/>
          <w:highlight w:val="none"/>
          <w:u w:val="single"/>
        </w:rPr>
        <w:t></w:t>
      </w:r>
      <w:r>
        <w:rPr>
          <w:rFonts w:hint="eastAsia" w:ascii="宋体" w:hAnsi="宋体" w:eastAsia="宋体" w:cs="宋体"/>
          <w:sz w:val="24"/>
          <w:highlight w:val="none"/>
        </w:rPr>
        <w:t>。</w:t>
      </w:r>
      <w:bookmarkEnd w:id="560"/>
      <w:bookmarkEnd w:id="561"/>
      <w:bookmarkEnd w:id="562"/>
      <w:bookmarkEnd w:id="563"/>
      <w:bookmarkEnd w:id="564"/>
      <w:bookmarkEnd w:id="565"/>
      <w:bookmarkEnd w:id="566"/>
    </w:p>
    <w:bookmarkEnd w:id="567"/>
    <w:p w14:paraId="7956D6AE">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因承包人原因造成工期延误，逾</w:t>
      </w:r>
      <w:bookmarkStart w:id="568" w:name="_Toc318581171"/>
      <w:bookmarkStart w:id="569" w:name="_Toc312678014"/>
      <w:r>
        <w:rPr>
          <w:rFonts w:hint="eastAsia" w:ascii="宋体" w:hAnsi="宋体" w:eastAsia="宋体" w:cs="宋体"/>
          <w:sz w:val="24"/>
          <w:highlight w:val="none"/>
        </w:rPr>
        <w:t>期竣工违约金的上限：</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w:t>
      </w:r>
    </w:p>
    <w:bookmarkEnd w:id="568"/>
    <w:bookmarkEnd w:id="569"/>
    <w:p w14:paraId="72D47288">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w:t>
      </w:r>
      <w:bookmarkStart w:id="570" w:name="_Toc297123519"/>
      <w:bookmarkStart w:id="571" w:name="_Toc297216178"/>
      <w:bookmarkStart w:id="572" w:name="_Toc303539128"/>
      <w:bookmarkStart w:id="573" w:name="_Toc312678015"/>
      <w:bookmarkStart w:id="574" w:name="_Toc304295549"/>
      <w:bookmarkStart w:id="575" w:name="_Toc300934971"/>
      <w:r>
        <w:rPr>
          <w:rFonts w:hint="eastAsia" w:ascii="宋体" w:hAnsi="宋体" w:eastAsia="宋体" w:cs="宋体"/>
          <w:color w:val="000000"/>
          <w:sz w:val="24"/>
          <w:highlight w:val="none"/>
        </w:rPr>
        <w:t>.6 不</w:t>
      </w:r>
      <w:bookmarkEnd w:id="570"/>
      <w:bookmarkEnd w:id="571"/>
      <w:bookmarkEnd w:id="572"/>
      <w:bookmarkEnd w:id="573"/>
      <w:bookmarkEnd w:id="574"/>
      <w:bookmarkEnd w:id="575"/>
      <w:r>
        <w:rPr>
          <w:rFonts w:hint="eastAsia" w:ascii="宋体" w:hAnsi="宋体" w:eastAsia="宋体" w:cs="宋体"/>
          <w:color w:val="000000"/>
          <w:sz w:val="24"/>
          <w:highlight w:val="none"/>
        </w:rPr>
        <w:t>利物质条件</w:t>
      </w:r>
    </w:p>
    <w:p w14:paraId="65CF0B07">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bookmarkStart w:id="576" w:name="_Toc318581172"/>
      <w:bookmarkStart w:id="577" w:name="_Toc312678016"/>
      <w:bookmarkStart w:id="578" w:name="_Toc300934972"/>
      <w:bookmarkStart w:id="579" w:name="_Toc297216179"/>
      <w:bookmarkStart w:id="580" w:name="_Toc297123520"/>
      <w:bookmarkStart w:id="581" w:name="_Toc304295550"/>
      <w:bookmarkStart w:id="582" w:name="_Toc303539129"/>
      <w:r>
        <w:rPr>
          <w:rFonts w:hint="eastAsia" w:ascii="宋体" w:hAnsi="宋体" w:eastAsia="宋体" w:cs="宋体"/>
          <w:sz w:val="24"/>
          <w:highlight w:val="none"/>
        </w:rPr>
        <w:t>不利物质条件的其他情形和有关约定：</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w:t>
      </w:r>
    </w:p>
    <w:bookmarkEnd w:id="576"/>
    <w:bookmarkEnd w:id="577"/>
    <w:bookmarkEnd w:id="578"/>
    <w:bookmarkEnd w:id="579"/>
    <w:bookmarkEnd w:id="580"/>
    <w:bookmarkEnd w:id="581"/>
    <w:bookmarkEnd w:id="582"/>
    <w:p w14:paraId="40BBCCEB">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w:t>
      </w:r>
      <w:bookmarkStart w:id="583" w:name="_Toc312678017"/>
      <w:bookmarkStart w:id="584" w:name="_Toc303539130"/>
      <w:bookmarkStart w:id="585" w:name="_Toc304295551"/>
      <w:bookmarkStart w:id="586" w:name="_Toc297123521"/>
      <w:bookmarkStart w:id="587" w:name="_Toc297216180"/>
      <w:bookmarkStart w:id="588" w:name="_Toc300934973"/>
      <w:r>
        <w:rPr>
          <w:rFonts w:hint="eastAsia" w:ascii="宋体" w:hAnsi="宋体" w:eastAsia="宋体" w:cs="宋体"/>
          <w:color w:val="000000"/>
          <w:sz w:val="24"/>
          <w:highlight w:val="none"/>
        </w:rPr>
        <w:t>.7异常恶劣的气候条件</w:t>
      </w:r>
    </w:p>
    <w:bookmarkEnd w:id="583"/>
    <w:bookmarkEnd w:id="584"/>
    <w:bookmarkEnd w:id="585"/>
    <w:bookmarkEnd w:id="586"/>
    <w:bookmarkEnd w:id="587"/>
    <w:bookmarkEnd w:id="588"/>
    <w:p w14:paraId="0C7ACED5">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发包人和承包人同意以下情形视为异常恶劣的气候条件：</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w:t>
      </w:r>
    </w:p>
    <w:p w14:paraId="09E220B8">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589" w:name="_Toc19667"/>
      <w:bookmarkStart w:id="590" w:name="_Toc327"/>
      <w:bookmarkStart w:id="591" w:name="_Toc16296"/>
      <w:bookmarkStart w:id="592" w:name="_Toc1001"/>
      <w:bookmarkStart w:id="593" w:name="_Toc18406"/>
      <w:bookmarkStart w:id="594" w:name="_Toc16519"/>
      <w:bookmarkStart w:id="595" w:name="_Toc21094"/>
      <w:bookmarkStart w:id="596" w:name="_Toc28810"/>
      <w:r>
        <w:rPr>
          <w:rFonts w:hint="eastAsia" w:ascii="宋体" w:hAnsi="宋体" w:eastAsia="宋体" w:cs="宋体"/>
          <w:color w:val="000000"/>
          <w:sz w:val="24"/>
          <w:highlight w:val="none"/>
        </w:rPr>
        <w:t>7.9 提前竣工的奖励</w:t>
      </w:r>
      <w:bookmarkEnd w:id="589"/>
      <w:bookmarkEnd w:id="590"/>
      <w:bookmarkEnd w:id="591"/>
      <w:bookmarkEnd w:id="592"/>
      <w:bookmarkEnd w:id="593"/>
      <w:bookmarkEnd w:id="594"/>
      <w:bookmarkEnd w:id="595"/>
      <w:bookmarkEnd w:id="596"/>
    </w:p>
    <w:p w14:paraId="5135607F">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7.9.2提前竣工的奖励：</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w:t>
      </w:r>
    </w:p>
    <w:p w14:paraId="2CAD1772">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597" w:name="_Toc351203640"/>
      <w:r>
        <w:rPr>
          <w:rFonts w:hint="eastAsia" w:ascii="宋体" w:hAnsi="宋体" w:eastAsia="宋体" w:cs="宋体"/>
          <w:bCs/>
          <w:color w:val="000000"/>
          <w:sz w:val="24"/>
          <w:highlight w:val="none"/>
        </w:rPr>
        <w:t>8. 材料与设备</w:t>
      </w:r>
      <w:bookmarkEnd w:id="597"/>
    </w:p>
    <w:bookmarkEnd w:id="509"/>
    <w:bookmarkEnd w:id="510"/>
    <w:bookmarkEnd w:id="511"/>
    <w:bookmarkEnd w:id="512"/>
    <w:bookmarkEnd w:id="513"/>
    <w:bookmarkEnd w:id="514"/>
    <w:bookmarkEnd w:id="515"/>
    <w:bookmarkEnd w:id="516"/>
    <w:bookmarkEnd w:id="517"/>
    <w:bookmarkEnd w:id="518"/>
    <w:p w14:paraId="3B26E545">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8</w:t>
      </w:r>
      <w:bookmarkStart w:id="598" w:name="_Toc296890995"/>
      <w:bookmarkStart w:id="599" w:name="_Toc296944506"/>
      <w:bookmarkStart w:id="600" w:name="_Toc304295556"/>
      <w:bookmarkStart w:id="601" w:name="_Toc312678019"/>
      <w:bookmarkStart w:id="602" w:name="_Toc297216186"/>
      <w:bookmarkStart w:id="603" w:name="_Toc297048353"/>
      <w:bookmarkStart w:id="604" w:name="_Toc297120467"/>
      <w:bookmarkStart w:id="605" w:name="_Toc296346668"/>
      <w:bookmarkStart w:id="606" w:name="_Toc296347166"/>
      <w:bookmarkStart w:id="607" w:name="_Toc296503167"/>
      <w:bookmarkStart w:id="608" w:name="_Toc303539136"/>
      <w:bookmarkStart w:id="609" w:name="_Toc292559372"/>
      <w:bookmarkStart w:id="610" w:name="_Toc280868654"/>
      <w:bookmarkStart w:id="611" w:name="_Toc297123527"/>
      <w:bookmarkStart w:id="612" w:name="_Toc300934979"/>
      <w:bookmarkStart w:id="613" w:name="_Toc296891207"/>
      <w:bookmarkStart w:id="614" w:name="_Toc292559877"/>
      <w:bookmarkStart w:id="615" w:name="_Toc312677493"/>
      <w:bookmarkStart w:id="616" w:name="_Toc280868656"/>
      <w:bookmarkStart w:id="617" w:name="_Toc267251424"/>
      <w:bookmarkStart w:id="618" w:name="_Toc280868655"/>
      <w:r>
        <w:rPr>
          <w:rFonts w:hint="eastAsia" w:ascii="宋体" w:hAnsi="宋体" w:eastAsia="宋体" w:cs="宋体"/>
          <w:color w:val="000000"/>
          <w:sz w:val="24"/>
          <w:highlight w:val="none"/>
        </w:rPr>
        <w:t>.4材料与工程设备的保管与使用</w:t>
      </w:r>
    </w:p>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14:paraId="7C047480">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8</w:t>
      </w:r>
      <w:bookmarkStart w:id="619" w:name="_Toc292559373"/>
      <w:bookmarkStart w:id="620" w:name="_Toc292559878"/>
      <w:bookmarkStart w:id="621" w:name="_Toc296347167"/>
      <w:bookmarkStart w:id="622" w:name="_Toc297123528"/>
      <w:bookmarkStart w:id="623" w:name="_Toc297048354"/>
      <w:bookmarkStart w:id="624" w:name="_Toc300934980"/>
      <w:bookmarkStart w:id="625" w:name="_Toc297216187"/>
      <w:bookmarkStart w:id="626" w:name="_Toc296944507"/>
      <w:bookmarkStart w:id="627" w:name="_Toc312678020"/>
      <w:bookmarkStart w:id="628" w:name="_Toc304295557"/>
      <w:bookmarkStart w:id="629" w:name="_Toc296503168"/>
      <w:bookmarkStart w:id="630" w:name="_Toc296891208"/>
      <w:bookmarkStart w:id="631" w:name="_Toc296890996"/>
      <w:bookmarkStart w:id="632" w:name="_Toc303539137"/>
      <w:bookmarkStart w:id="633" w:name="_Toc312677494"/>
      <w:bookmarkStart w:id="634" w:name="_Toc318581173"/>
      <w:bookmarkStart w:id="635" w:name="_Toc296346669"/>
      <w:bookmarkStart w:id="636" w:name="_Toc297120468"/>
      <w:r>
        <w:rPr>
          <w:rFonts w:hint="eastAsia" w:ascii="宋体" w:hAnsi="宋体" w:eastAsia="宋体" w:cs="宋体"/>
          <w:sz w:val="24"/>
          <w:highlight w:val="none"/>
        </w:rPr>
        <w:t>.4.1发包人供应的材料设备的保管费用的承担：</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w:t>
      </w:r>
      <w:bookmarkEnd w:id="619"/>
      <w:bookmarkEnd w:id="620"/>
    </w:p>
    <w:p w14:paraId="090F2875">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637" w:name="_Toc14905"/>
      <w:bookmarkStart w:id="638" w:name="_Toc30147"/>
      <w:bookmarkStart w:id="639" w:name="_Toc9856"/>
      <w:bookmarkStart w:id="640" w:name="_Toc18757"/>
      <w:bookmarkStart w:id="641" w:name="_Toc3779"/>
      <w:bookmarkStart w:id="642" w:name="_Toc18959"/>
      <w:bookmarkStart w:id="643" w:name="_Toc19203"/>
      <w:bookmarkStart w:id="644" w:name="_Toc13372"/>
      <w:r>
        <w:rPr>
          <w:rFonts w:hint="eastAsia" w:ascii="宋体" w:hAnsi="宋体" w:eastAsia="宋体" w:cs="宋体"/>
          <w:color w:val="000000"/>
          <w:sz w:val="24"/>
          <w:highlight w:val="none"/>
        </w:rPr>
        <w:t>8.6 样品</w:t>
      </w:r>
      <w:bookmarkEnd w:id="637"/>
      <w:bookmarkEnd w:id="638"/>
      <w:bookmarkEnd w:id="639"/>
      <w:bookmarkEnd w:id="640"/>
      <w:bookmarkEnd w:id="641"/>
      <w:bookmarkEnd w:id="642"/>
      <w:bookmarkEnd w:id="643"/>
      <w:bookmarkEnd w:id="644"/>
    </w:p>
    <w:p w14:paraId="42A8D6B3">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8.6.1</w:t>
      </w:r>
      <w:r>
        <w:rPr>
          <w:rFonts w:hint="eastAsia" w:ascii="宋体" w:hAnsi="宋体" w:eastAsia="宋体" w:cs="宋体"/>
          <w:color w:val="000000"/>
          <w:kern w:val="0"/>
          <w:sz w:val="24"/>
          <w:highlight w:val="none"/>
        </w:rPr>
        <w:tab/>
      </w:r>
      <w:r>
        <w:rPr>
          <w:rFonts w:hint="eastAsia" w:ascii="宋体" w:hAnsi="宋体" w:eastAsia="宋体" w:cs="宋体"/>
          <w:color w:val="000000"/>
          <w:kern w:val="0"/>
          <w:sz w:val="24"/>
          <w:highlight w:val="none"/>
        </w:rPr>
        <w:t>样品的报送与封存</w:t>
      </w:r>
    </w:p>
    <w:p w14:paraId="39B3D714">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color w:val="000000"/>
          <w:kern w:val="0"/>
          <w:sz w:val="24"/>
          <w:highlight w:val="none"/>
        </w:rPr>
        <w:t>需要承包人报送样品的材料或工程设备，样品的种类、名称、规格、数量要求：</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sz w:val="24"/>
          <w:highlight w:val="none"/>
        </w:rPr>
        <w:t>。</w:t>
      </w:r>
    </w:p>
    <w:p w14:paraId="762AB94F">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645" w:name="_Toc30791"/>
      <w:bookmarkStart w:id="646" w:name="_Toc13571"/>
      <w:bookmarkStart w:id="647" w:name="_Toc19573"/>
      <w:bookmarkStart w:id="648" w:name="_Toc12149"/>
      <w:bookmarkStart w:id="649" w:name="_Toc5399"/>
      <w:bookmarkStart w:id="650" w:name="_Toc29310"/>
      <w:bookmarkStart w:id="651" w:name="_Toc32720"/>
      <w:bookmarkStart w:id="652" w:name="_Toc19478"/>
      <w:r>
        <w:rPr>
          <w:rFonts w:hint="eastAsia" w:ascii="宋体" w:hAnsi="宋体" w:eastAsia="宋体" w:cs="宋体"/>
          <w:color w:val="000000"/>
          <w:sz w:val="24"/>
          <w:highlight w:val="none"/>
        </w:rPr>
        <w:t>8.8 施工设备和临时设施</w:t>
      </w:r>
      <w:bookmarkEnd w:id="645"/>
      <w:bookmarkEnd w:id="646"/>
      <w:bookmarkEnd w:id="647"/>
      <w:bookmarkEnd w:id="648"/>
      <w:bookmarkEnd w:id="649"/>
      <w:bookmarkEnd w:id="650"/>
      <w:bookmarkEnd w:id="651"/>
      <w:bookmarkEnd w:id="652"/>
    </w:p>
    <w:p w14:paraId="6977B926">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8.8.1 承包人提供的施工设备和临时设施</w:t>
      </w:r>
    </w:p>
    <w:p w14:paraId="524DB097">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关于修建临时设施费用承担的约定：</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w:t>
      </w:r>
    </w:p>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14:paraId="754957D3">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653" w:name="_Toc351203641"/>
      <w:r>
        <w:rPr>
          <w:rFonts w:hint="eastAsia" w:ascii="宋体" w:hAnsi="宋体" w:eastAsia="宋体" w:cs="宋体"/>
          <w:bCs/>
          <w:color w:val="000000"/>
          <w:sz w:val="24"/>
          <w:highlight w:val="none"/>
        </w:rPr>
        <w:t>9</w:t>
      </w:r>
      <w:bookmarkEnd w:id="616"/>
      <w:bookmarkEnd w:id="617"/>
      <w:bookmarkEnd w:id="618"/>
      <w:bookmarkStart w:id="654" w:name="_Toc303539139"/>
      <w:bookmarkStart w:id="655" w:name="_Toc297123533"/>
      <w:bookmarkStart w:id="656" w:name="_Toc312678021"/>
      <w:bookmarkStart w:id="657" w:name="_Toc297216192"/>
      <w:bookmarkStart w:id="658" w:name="_Toc304295559"/>
      <w:bookmarkStart w:id="659" w:name="_Toc300934982"/>
      <w:bookmarkStart w:id="660" w:name="_Toc312677495"/>
      <w:bookmarkStart w:id="661" w:name="_Toc267251428"/>
      <w:bookmarkStart w:id="662" w:name="_Toc296347172"/>
      <w:bookmarkStart w:id="663" w:name="_Toc296891213"/>
      <w:bookmarkStart w:id="664" w:name="_Toc296346674"/>
      <w:bookmarkStart w:id="665" w:name="_Toc292559883"/>
      <w:bookmarkStart w:id="666" w:name="_Toc297120473"/>
      <w:bookmarkStart w:id="667" w:name="_Toc292559378"/>
      <w:bookmarkStart w:id="668" w:name="_Toc296891001"/>
      <w:bookmarkStart w:id="669" w:name="_Toc296503173"/>
      <w:bookmarkStart w:id="670" w:name="_Toc297048359"/>
      <w:bookmarkStart w:id="671" w:name="_Toc296944512"/>
      <w:bookmarkStart w:id="672" w:name="_Toc267251427"/>
      <w:r>
        <w:rPr>
          <w:rFonts w:hint="eastAsia" w:ascii="宋体" w:hAnsi="宋体" w:eastAsia="宋体" w:cs="宋体"/>
          <w:bCs/>
          <w:color w:val="000000"/>
          <w:sz w:val="24"/>
          <w:highlight w:val="none"/>
        </w:rPr>
        <w:t>. 试验与检验</w:t>
      </w:r>
      <w:bookmarkEnd w:id="653"/>
    </w:p>
    <w:bookmarkEnd w:id="654"/>
    <w:bookmarkEnd w:id="655"/>
    <w:bookmarkEnd w:id="656"/>
    <w:bookmarkEnd w:id="657"/>
    <w:bookmarkEnd w:id="658"/>
    <w:bookmarkEnd w:id="659"/>
    <w:bookmarkEnd w:id="660"/>
    <w:p w14:paraId="0EBBC677">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9</w:t>
      </w:r>
      <w:bookmarkStart w:id="673" w:name="_Toc304295560"/>
      <w:bookmarkStart w:id="674" w:name="_Toc303539140"/>
      <w:bookmarkStart w:id="675" w:name="_Toc312677496"/>
      <w:bookmarkStart w:id="676" w:name="_Toc312678022"/>
      <w:bookmarkStart w:id="677" w:name="_Toc297123534"/>
      <w:bookmarkStart w:id="678" w:name="_Toc300934983"/>
      <w:bookmarkStart w:id="679" w:name="_Toc297216193"/>
      <w:r>
        <w:rPr>
          <w:rFonts w:hint="eastAsia" w:ascii="宋体" w:hAnsi="宋体" w:eastAsia="宋体" w:cs="宋体"/>
          <w:color w:val="000000"/>
          <w:sz w:val="24"/>
          <w:highlight w:val="none"/>
        </w:rPr>
        <w:t>.1试验设备与试验人员</w:t>
      </w:r>
    </w:p>
    <w:bookmarkEnd w:id="673"/>
    <w:bookmarkEnd w:id="674"/>
    <w:bookmarkEnd w:id="675"/>
    <w:bookmarkEnd w:id="676"/>
    <w:bookmarkEnd w:id="677"/>
    <w:bookmarkEnd w:id="678"/>
    <w:bookmarkEnd w:id="679"/>
    <w:p w14:paraId="4ED90E64">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9</w:t>
      </w:r>
      <w:bookmarkStart w:id="680" w:name="_Toc304295561"/>
      <w:bookmarkStart w:id="681" w:name="_Toc303539141"/>
      <w:bookmarkStart w:id="682" w:name="_Toc300934984"/>
      <w:bookmarkStart w:id="683" w:name="_Toc297123535"/>
      <w:bookmarkStart w:id="684" w:name="_Toc312677497"/>
      <w:bookmarkStart w:id="685" w:name="_Toc297216194"/>
      <w:bookmarkStart w:id="686" w:name="_Toc312678023"/>
      <w:bookmarkStart w:id="687" w:name="_Toc318581174"/>
      <w:r>
        <w:rPr>
          <w:rFonts w:hint="eastAsia" w:ascii="宋体" w:hAnsi="宋体" w:eastAsia="宋体" w:cs="宋体"/>
          <w:sz w:val="24"/>
          <w:highlight w:val="none"/>
        </w:rPr>
        <w:t>.1.2 试验设备</w:t>
      </w:r>
    </w:p>
    <w:p w14:paraId="4C13612D">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施工现场需要配置的试验场所：</w:t>
      </w:r>
      <w:bookmarkEnd w:id="680"/>
      <w:bookmarkEnd w:id="681"/>
      <w:bookmarkEnd w:id="682"/>
      <w:bookmarkEnd w:id="683"/>
      <w:bookmarkEnd w:id="684"/>
      <w:bookmarkEnd w:id="685"/>
      <w:bookmarkEnd w:id="686"/>
      <w:bookmarkStart w:id="688" w:name="_Toc297123536"/>
      <w:bookmarkStart w:id="689" w:name="_Toc300934985"/>
      <w:bookmarkStart w:id="690" w:name="_Toc312677498"/>
      <w:bookmarkStart w:id="691" w:name="_Toc312678024"/>
      <w:bookmarkStart w:id="692" w:name="_Toc303539142"/>
      <w:bookmarkStart w:id="693" w:name="_Toc297216195"/>
      <w:bookmarkStart w:id="694" w:name="_Toc304295562"/>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w:t>
      </w:r>
    </w:p>
    <w:p w14:paraId="22DEA689">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施工现场需要配备的试验设备：</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w:t>
      </w:r>
    </w:p>
    <w:p w14:paraId="482E00E1">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施工现场需要具备的其他试验条件：</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w:t>
      </w:r>
    </w:p>
    <w:p w14:paraId="74276353">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695" w:name="_Toc28532"/>
      <w:bookmarkStart w:id="696" w:name="_Toc27044"/>
      <w:bookmarkStart w:id="697" w:name="_Toc24881"/>
      <w:bookmarkStart w:id="698" w:name="_Toc17192"/>
      <w:bookmarkStart w:id="699" w:name="_Toc6921"/>
      <w:bookmarkStart w:id="700" w:name="_Toc5336"/>
      <w:bookmarkStart w:id="701" w:name="_Toc22876"/>
      <w:bookmarkStart w:id="702" w:name="_Toc15527"/>
      <w:r>
        <w:rPr>
          <w:rFonts w:hint="eastAsia" w:ascii="宋体" w:hAnsi="宋体" w:eastAsia="宋体" w:cs="宋体"/>
          <w:color w:val="000000"/>
          <w:sz w:val="24"/>
          <w:highlight w:val="none"/>
        </w:rPr>
        <w:t>9.4 现场工艺试验</w:t>
      </w:r>
      <w:bookmarkEnd w:id="695"/>
      <w:bookmarkEnd w:id="696"/>
      <w:bookmarkEnd w:id="697"/>
      <w:bookmarkEnd w:id="698"/>
      <w:bookmarkEnd w:id="699"/>
      <w:bookmarkEnd w:id="700"/>
      <w:bookmarkEnd w:id="701"/>
      <w:bookmarkEnd w:id="702"/>
    </w:p>
    <w:p w14:paraId="165A5FA0">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现场工艺试验的有关约定：</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w:t>
      </w:r>
    </w:p>
    <w:bookmarkEnd w:id="687"/>
    <w:bookmarkEnd w:id="688"/>
    <w:bookmarkEnd w:id="689"/>
    <w:bookmarkEnd w:id="690"/>
    <w:bookmarkEnd w:id="691"/>
    <w:bookmarkEnd w:id="692"/>
    <w:bookmarkEnd w:id="693"/>
    <w:bookmarkEnd w:id="694"/>
    <w:p w14:paraId="4DEAA99E">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703" w:name="_Toc351203642"/>
      <w:r>
        <w:rPr>
          <w:rFonts w:hint="eastAsia" w:ascii="宋体" w:hAnsi="宋体" w:eastAsia="宋体" w:cs="宋体"/>
          <w:bCs/>
          <w:color w:val="000000"/>
          <w:sz w:val="24"/>
          <w:highlight w:val="none"/>
        </w:rPr>
        <w:t>1</w:t>
      </w:r>
      <w:bookmarkEnd w:id="661"/>
      <w:bookmarkEnd w:id="662"/>
      <w:bookmarkEnd w:id="663"/>
      <w:bookmarkEnd w:id="664"/>
      <w:bookmarkEnd w:id="665"/>
      <w:bookmarkEnd w:id="666"/>
      <w:bookmarkEnd w:id="667"/>
      <w:bookmarkEnd w:id="668"/>
      <w:bookmarkEnd w:id="669"/>
      <w:bookmarkEnd w:id="670"/>
      <w:bookmarkEnd w:id="671"/>
      <w:bookmarkEnd w:id="672"/>
      <w:bookmarkStart w:id="704" w:name="_Toc292559903"/>
      <w:bookmarkStart w:id="705" w:name="_Toc296503193"/>
      <w:bookmarkStart w:id="706" w:name="_Toc303539146"/>
      <w:bookmarkStart w:id="707" w:name="_Toc296944532"/>
      <w:bookmarkStart w:id="708" w:name="_Toc297120493"/>
      <w:bookmarkStart w:id="709" w:name="_Toc297123540"/>
      <w:bookmarkStart w:id="710" w:name="_Toc296346694"/>
      <w:bookmarkStart w:id="711" w:name="_Toc296347192"/>
      <w:bookmarkStart w:id="712" w:name="_Toc297048379"/>
      <w:bookmarkStart w:id="713" w:name="_Toc300934989"/>
      <w:bookmarkStart w:id="714" w:name="_Toc304295566"/>
      <w:bookmarkStart w:id="715" w:name="_Toc292559398"/>
      <w:bookmarkStart w:id="716" w:name="_Toc297216199"/>
      <w:bookmarkStart w:id="717" w:name="_Toc296891021"/>
      <w:bookmarkStart w:id="718" w:name="_Toc296891233"/>
      <w:bookmarkStart w:id="719" w:name="_Toc312677499"/>
      <w:bookmarkStart w:id="720" w:name="_Toc312678025"/>
      <w:bookmarkStart w:id="721" w:name="_Toc267251437"/>
      <w:bookmarkStart w:id="722" w:name="_Toc267251433"/>
      <w:bookmarkStart w:id="723" w:name="_Toc267251440"/>
      <w:bookmarkStart w:id="724" w:name="_Toc267251439"/>
      <w:bookmarkStart w:id="725" w:name="_Toc267251441"/>
      <w:bookmarkStart w:id="726" w:name="_Toc267251435"/>
      <w:bookmarkStart w:id="727" w:name="_Toc267251442"/>
      <w:r>
        <w:rPr>
          <w:rFonts w:hint="eastAsia" w:ascii="宋体" w:hAnsi="宋体" w:eastAsia="宋体" w:cs="宋体"/>
          <w:bCs/>
          <w:color w:val="000000"/>
          <w:sz w:val="24"/>
          <w:highlight w:val="none"/>
        </w:rPr>
        <w:t>0. 变更</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bookmarkEnd w:id="719"/>
    <w:bookmarkEnd w:id="720"/>
    <w:p w14:paraId="20093DA0">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bookmarkStart w:id="728" w:name="_Toc296944533"/>
      <w:bookmarkStart w:id="729" w:name="_Toc296346695"/>
      <w:bookmarkStart w:id="730" w:name="_Toc296891234"/>
      <w:bookmarkStart w:id="731" w:name="_Toc296891022"/>
      <w:bookmarkStart w:id="732" w:name="_Toc297216200"/>
      <w:bookmarkStart w:id="733" w:name="_Toc312678026"/>
      <w:bookmarkStart w:id="734" w:name="_Toc296503194"/>
      <w:bookmarkStart w:id="735" w:name="_Toc292559904"/>
      <w:bookmarkStart w:id="736" w:name="_Toc297048380"/>
      <w:bookmarkStart w:id="737" w:name="_Toc297120494"/>
      <w:bookmarkStart w:id="738" w:name="_Toc304295567"/>
      <w:bookmarkStart w:id="739" w:name="_Toc297123541"/>
      <w:bookmarkStart w:id="740" w:name="_Toc296347193"/>
      <w:bookmarkStart w:id="741" w:name="_Toc303539147"/>
      <w:bookmarkStart w:id="742" w:name="_Toc300934990"/>
      <w:bookmarkStart w:id="743" w:name="_Toc312677500"/>
      <w:bookmarkStart w:id="744" w:name="_Toc292559399"/>
      <w:r>
        <w:rPr>
          <w:rFonts w:hint="eastAsia" w:ascii="宋体" w:hAnsi="宋体" w:eastAsia="宋体" w:cs="宋体"/>
          <w:color w:val="000000"/>
          <w:sz w:val="24"/>
          <w:highlight w:val="none"/>
        </w:rPr>
        <w:t>0.1变更的范围</w:t>
      </w:r>
    </w:p>
    <w:p w14:paraId="3B8873AF">
      <w:pPr>
        <w:keepLines w:val="0"/>
        <w:pageBreakBefore w:val="0"/>
        <w:widowControl w:val="0"/>
        <w:kinsoku/>
        <w:wordWrap/>
        <w:overflowPunct/>
        <w:topLinePunct w:val="0"/>
        <w:bidi w:val="0"/>
        <w:snapToGrid/>
        <w:spacing w:line="360" w:lineRule="auto"/>
        <w:ind w:firstLine="6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关于变更的范围的约定：</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w:t>
      </w:r>
    </w:p>
    <w:p w14:paraId="59632B62">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745" w:name="_Toc4241"/>
      <w:bookmarkStart w:id="746" w:name="_Toc3073"/>
      <w:bookmarkStart w:id="747" w:name="_Toc4340"/>
      <w:bookmarkStart w:id="748" w:name="_Toc32646"/>
      <w:bookmarkStart w:id="749" w:name="_Toc21747"/>
      <w:bookmarkStart w:id="750" w:name="_Toc15449"/>
      <w:bookmarkStart w:id="751" w:name="_Toc4594"/>
      <w:bookmarkStart w:id="752" w:name="_Toc25374"/>
      <w:r>
        <w:rPr>
          <w:rFonts w:hint="eastAsia" w:ascii="宋体" w:hAnsi="宋体" w:eastAsia="宋体" w:cs="宋体"/>
          <w:color w:val="000000"/>
          <w:sz w:val="24"/>
          <w:highlight w:val="none"/>
        </w:rPr>
        <w:t>10.4 变更估价</w:t>
      </w:r>
      <w:bookmarkEnd w:id="745"/>
      <w:bookmarkEnd w:id="746"/>
      <w:bookmarkEnd w:id="747"/>
      <w:bookmarkEnd w:id="748"/>
      <w:bookmarkEnd w:id="749"/>
      <w:bookmarkEnd w:id="750"/>
      <w:bookmarkEnd w:id="751"/>
      <w:bookmarkEnd w:id="752"/>
    </w:p>
    <w:p w14:paraId="4353E5C1">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10.4.1 变更估价原则</w:t>
      </w:r>
    </w:p>
    <w:p w14:paraId="1CA54A38">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 xml:space="preserve">关于变更估价的约定: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w:t>
      </w:r>
    </w:p>
    <w:p w14:paraId="1BEB544F">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Start w:id="753" w:name="_Toc297048383"/>
      <w:bookmarkStart w:id="754" w:name="_Toc303539150"/>
      <w:bookmarkStart w:id="755" w:name="_Toc296891237"/>
      <w:bookmarkStart w:id="756" w:name="_Toc297216203"/>
      <w:bookmarkStart w:id="757" w:name="_Toc296503197"/>
      <w:bookmarkStart w:id="758" w:name="_Toc292559907"/>
      <w:bookmarkStart w:id="759" w:name="_Toc297120497"/>
      <w:bookmarkStart w:id="760" w:name="_Toc296891025"/>
      <w:bookmarkStart w:id="761" w:name="_Toc292559402"/>
      <w:bookmarkStart w:id="762" w:name="_Toc296347196"/>
      <w:bookmarkStart w:id="763" w:name="_Toc296346698"/>
      <w:bookmarkStart w:id="764" w:name="_Toc296944536"/>
      <w:bookmarkStart w:id="765" w:name="_Toc297123544"/>
      <w:bookmarkStart w:id="766" w:name="_Toc300934993"/>
      <w:bookmarkStart w:id="767" w:name="_Toc312677503"/>
      <w:bookmarkStart w:id="768" w:name="_Toc312678029"/>
      <w:bookmarkStart w:id="769" w:name="_Toc304295570"/>
      <w:r>
        <w:rPr>
          <w:rFonts w:hint="eastAsia" w:ascii="宋体" w:hAnsi="宋体" w:eastAsia="宋体" w:cs="宋体"/>
          <w:color w:val="000000"/>
          <w:sz w:val="24"/>
          <w:highlight w:val="none"/>
        </w:rPr>
        <w:t>0.5承</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Start w:id="770" w:name="_Toc297216204"/>
      <w:bookmarkStart w:id="771" w:name="_Toc296347202"/>
      <w:bookmarkStart w:id="772" w:name="_Toc296891031"/>
      <w:bookmarkStart w:id="773" w:name="_Toc297120503"/>
      <w:bookmarkStart w:id="774" w:name="_Toc303539151"/>
      <w:bookmarkStart w:id="775" w:name="_Toc297123545"/>
      <w:bookmarkStart w:id="776" w:name="_Toc292559408"/>
      <w:bookmarkStart w:id="777" w:name="_Toc300934994"/>
      <w:bookmarkStart w:id="778" w:name="_Toc296891243"/>
      <w:bookmarkStart w:id="779" w:name="_Toc296944542"/>
      <w:bookmarkStart w:id="780" w:name="_Toc296346704"/>
      <w:bookmarkStart w:id="781" w:name="_Toc296503203"/>
      <w:bookmarkStart w:id="782" w:name="_Toc297048389"/>
      <w:bookmarkStart w:id="783" w:name="_Toc292559913"/>
      <w:r>
        <w:rPr>
          <w:rFonts w:hint="eastAsia" w:ascii="宋体" w:hAnsi="宋体" w:eastAsia="宋体" w:cs="宋体"/>
          <w:color w:val="000000"/>
          <w:sz w:val="24"/>
          <w:highlight w:val="none"/>
        </w:rPr>
        <w:t>包人的合理化建议</w:t>
      </w:r>
    </w:p>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14:paraId="4AF0DC46">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监理人审查承包人合理化建议的期限：</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w:t>
      </w:r>
    </w:p>
    <w:p w14:paraId="16C16174">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发包人审批承包人合理化建议的期限：</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w:t>
      </w:r>
    </w:p>
    <w:p w14:paraId="3041DD38">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承</w:t>
      </w:r>
      <w:bookmarkStart w:id="784" w:name="_Toc296891032"/>
      <w:bookmarkStart w:id="785" w:name="_Toc297048390"/>
      <w:bookmarkStart w:id="786" w:name="_Toc312677504"/>
      <w:bookmarkStart w:id="787" w:name="_Toc296503204"/>
      <w:bookmarkStart w:id="788" w:name="_Toc292559914"/>
      <w:bookmarkStart w:id="789" w:name="_Toc304295571"/>
      <w:bookmarkStart w:id="790" w:name="_Toc300934995"/>
      <w:bookmarkStart w:id="791" w:name="_Toc296346705"/>
      <w:bookmarkStart w:id="792" w:name="_Toc296944543"/>
      <w:bookmarkStart w:id="793" w:name="_Toc297216205"/>
      <w:bookmarkStart w:id="794" w:name="_Toc297123546"/>
      <w:bookmarkStart w:id="795" w:name="_Toc296891244"/>
      <w:bookmarkStart w:id="796" w:name="_Toc292559409"/>
      <w:bookmarkStart w:id="797" w:name="_Toc318581175"/>
      <w:bookmarkStart w:id="798" w:name="_Toc297120504"/>
      <w:bookmarkStart w:id="799" w:name="_Toc312678030"/>
      <w:bookmarkStart w:id="800" w:name="_Toc303539152"/>
      <w:bookmarkStart w:id="801" w:name="_Toc296347203"/>
      <w:r>
        <w:rPr>
          <w:rFonts w:hint="eastAsia" w:ascii="宋体" w:hAnsi="宋体" w:eastAsia="宋体" w:cs="宋体"/>
          <w:sz w:val="24"/>
          <w:highlight w:val="none"/>
        </w:rPr>
        <w:t>包人提出的合理化建议降低了合同价格或者提高了工程经济效益的奖励的方法和金额为：</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w:t>
      </w:r>
    </w:p>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14:paraId="659B9FB6">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802" w:name="_Toc29181"/>
      <w:bookmarkStart w:id="803" w:name="_Toc18669"/>
      <w:bookmarkStart w:id="804" w:name="_Toc28603"/>
      <w:bookmarkStart w:id="805" w:name="_Toc24238"/>
      <w:bookmarkStart w:id="806" w:name="_Toc28675"/>
      <w:bookmarkStart w:id="807" w:name="_Toc19509"/>
      <w:bookmarkStart w:id="808" w:name="_Toc12464"/>
      <w:bookmarkStart w:id="809" w:name="_Toc27942"/>
      <w:r>
        <w:rPr>
          <w:rFonts w:hint="eastAsia" w:ascii="宋体" w:hAnsi="宋体" w:eastAsia="宋体" w:cs="宋体"/>
          <w:color w:val="000000"/>
          <w:sz w:val="24"/>
          <w:highlight w:val="none"/>
        </w:rPr>
        <w:t>1</w:t>
      </w:r>
      <w:bookmarkStart w:id="810" w:name="_Toc296944538"/>
      <w:bookmarkStart w:id="811" w:name="_Toc300934997"/>
      <w:bookmarkStart w:id="812" w:name="_Toc297048385"/>
      <w:bookmarkStart w:id="813" w:name="_Toc312678033"/>
      <w:bookmarkStart w:id="814" w:name="_Toc297120499"/>
      <w:bookmarkStart w:id="815" w:name="_Toc296891027"/>
      <w:bookmarkStart w:id="816" w:name="_Toc304295574"/>
      <w:bookmarkStart w:id="817" w:name="_Toc296891239"/>
      <w:bookmarkStart w:id="818" w:name="_Toc292559909"/>
      <w:bookmarkStart w:id="819" w:name="_Toc296346700"/>
      <w:bookmarkStart w:id="820" w:name="_Toc296347198"/>
      <w:bookmarkStart w:id="821" w:name="_Toc296503199"/>
      <w:bookmarkStart w:id="822" w:name="_Toc297123548"/>
      <w:bookmarkStart w:id="823" w:name="_Toc292559404"/>
      <w:bookmarkStart w:id="824" w:name="_Toc303539154"/>
      <w:bookmarkStart w:id="825" w:name="_Toc297216207"/>
      <w:bookmarkStart w:id="826" w:name="_Toc312677507"/>
      <w:r>
        <w:rPr>
          <w:rFonts w:hint="eastAsia" w:ascii="宋体" w:hAnsi="宋体" w:eastAsia="宋体" w:cs="宋体"/>
          <w:color w:val="000000"/>
          <w:sz w:val="24"/>
          <w:highlight w:val="none"/>
        </w:rPr>
        <w:t>0.7 暂估价</w:t>
      </w:r>
      <w:bookmarkEnd w:id="802"/>
      <w:bookmarkEnd w:id="803"/>
      <w:bookmarkEnd w:id="804"/>
      <w:bookmarkEnd w:id="805"/>
      <w:bookmarkEnd w:id="806"/>
      <w:bookmarkEnd w:id="807"/>
      <w:bookmarkEnd w:id="808"/>
      <w:bookmarkEnd w:id="809"/>
    </w:p>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14:paraId="5C87D843">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kern w:val="0"/>
          <w:sz w:val="24"/>
          <w:highlight w:val="none"/>
        </w:rPr>
        <w:t>暂</w:t>
      </w:r>
      <w:bookmarkStart w:id="827" w:name="_Toc312678034"/>
      <w:bookmarkStart w:id="828" w:name="_Toc312677508"/>
      <w:bookmarkStart w:id="829" w:name="_Toc318581176"/>
      <w:r>
        <w:rPr>
          <w:rFonts w:hint="eastAsia" w:ascii="宋体" w:hAnsi="宋体" w:eastAsia="宋体" w:cs="宋体"/>
          <w:kern w:val="0"/>
          <w:sz w:val="24"/>
          <w:highlight w:val="none"/>
        </w:rPr>
        <w:t>估价材料和工程设备的明细详见附件11：《</w:t>
      </w:r>
      <w:r>
        <w:rPr>
          <w:rFonts w:hint="eastAsia" w:ascii="宋体" w:hAnsi="宋体" w:eastAsia="宋体" w:cs="宋体"/>
          <w:color w:val="000000"/>
          <w:sz w:val="24"/>
          <w:highlight w:val="none"/>
        </w:rPr>
        <w:t>暂估价一览表》</w:t>
      </w:r>
      <w:r>
        <w:rPr>
          <w:rFonts w:hint="eastAsia" w:ascii="宋体" w:hAnsi="宋体" w:eastAsia="宋体" w:cs="宋体"/>
          <w:kern w:val="0"/>
          <w:sz w:val="24"/>
          <w:highlight w:val="none"/>
        </w:rPr>
        <w:t>。</w:t>
      </w:r>
    </w:p>
    <w:bookmarkEnd w:id="827"/>
    <w:bookmarkEnd w:id="828"/>
    <w:bookmarkEnd w:id="829"/>
    <w:p w14:paraId="3720AE92">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1</w:t>
      </w:r>
      <w:bookmarkStart w:id="830" w:name="_Toc312678035"/>
      <w:bookmarkStart w:id="831" w:name="_Toc318581177"/>
      <w:bookmarkStart w:id="832" w:name="_Toc312677509"/>
      <w:r>
        <w:rPr>
          <w:rFonts w:hint="eastAsia" w:ascii="宋体" w:hAnsi="宋体" w:eastAsia="宋体" w:cs="宋体"/>
          <w:sz w:val="24"/>
          <w:highlight w:val="none"/>
        </w:rPr>
        <w:t>0.7.1 依法必须招标的暂估价项目</w:t>
      </w:r>
    </w:p>
    <w:bookmarkEnd w:id="830"/>
    <w:bookmarkEnd w:id="831"/>
    <w:bookmarkEnd w:id="832"/>
    <w:p w14:paraId="2F4398DA">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对于依法必须招标的暂估价项目的确认和批准采取第种方式确定。</w:t>
      </w:r>
    </w:p>
    <w:p w14:paraId="319FAA23">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10.7.2 不属于依法必须招标的暂估价项目</w:t>
      </w:r>
    </w:p>
    <w:p w14:paraId="75AE5798">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对于不属于依法必须招标的暂估价项目的确认和批准采取第种方式确定。</w:t>
      </w:r>
    </w:p>
    <w:p w14:paraId="243E94C3">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第3种方式：</w:t>
      </w:r>
      <w:r>
        <w:rPr>
          <w:rFonts w:hint="eastAsia" w:ascii="宋体" w:hAnsi="宋体" w:eastAsia="宋体" w:cs="宋体"/>
          <w:color w:val="000000"/>
          <w:kern w:val="0"/>
          <w:sz w:val="24"/>
          <w:highlight w:val="none"/>
        </w:rPr>
        <w:t>承包人直接实施的暂估价项目</w:t>
      </w:r>
    </w:p>
    <w:p w14:paraId="4E51396D">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承包人直接实施的暂估价项目的约定：</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w:t>
      </w:r>
    </w:p>
    <w:p w14:paraId="4BE6D958">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10.8 暂列金额</w:t>
      </w:r>
    </w:p>
    <w:p w14:paraId="4685C28F">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color w:val="000000"/>
          <w:kern w:val="0"/>
          <w:sz w:val="24"/>
          <w:highlight w:val="none"/>
        </w:rPr>
        <w:t>合同当事人关于暂列金额使用的约定：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lang w:val="en-US" w:eastAsia="zh-CN"/>
        </w:rPr>
        <w:t xml:space="preserve"> </w:t>
      </w:r>
      <w:r>
        <w:rPr>
          <w:rFonts w:hint="eastAsia" w:ascii="宋体" w:hAnsi="宋体" w:eastAsia="宋体" w:cs="宋体"/>
          <w:color w:val="000000"/>
          <w:kern w:val="0"/>
          <w:sz w:val="24"/>
          <w:highlight w:val="none"/>
        </w:rPr>
        <w:t>。</w:t>
      </w:r>
    </w:p>
    <w:p w14:paraId="5ADD2511">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833" w:name="_Toc351203643"/>
      <w:r>
        <w:rPr>
          <w:rFonts w:hint="eastAsia" w:ascii="宋体" w:hAnsi="宋体" w:eastAsia="宋体" w:cs="宋体"/>
          <w:bCs/>
          <w:color w:val="000000"/>
          <w:sz w:val="24"/>
          <w:highlight w:val="none"/>
        </w:rPr>
        <w:t>11. 价格调整</w:t>
      </w:r>
      <w:bookmarkEnd w:id="833"/>
    </w:p>
    <w:p w14:paraId="09007F56">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bookmarkStart w:id="834" w:name="_Toc296891029"/>
      <w:bookmarkStart w:id="835" w:name="_Toc297123550"/>
      <w:bookmarkStart w:id="836" w:name="_Toc292559406"/>
      <w:bookmarkStart w:id="837" w:name="_Toc312678039"/>
      <w:bookmarkStart w:id="838" w:name="_Toc292559911"/>
      <w:bookmarkStart w:id="839" w:name="_Toc300935000"/>
      <w:bookmarkStart w:id="840" w:name="_Toc296944540"/>
      <w:bookmarkStart w:id="841" w:name="_Toc304295577"/>
      <w:bookmarkStart w:id="842" w:name="_Toc296346702"/>
      <w:bookmarkStart w:id="843" w:name="_Toc297048387"/>
      <w:bookmarkStart w:id="844" w:name="_Toc303539157"/>
      <w:bookmarkStart w:id="845" w:name="_Toc296891241"/>
      <w:bookmarkStart w:id="846" w:name="_Toc296347200"/>
      <w:bookmarkStart w:id="847" w:name="_Toc296503201"/>
      <w:bookmarkStart w:id="848" w:name="_Toc297120501"/>
      <w:bookmarkStart w:id="849" w:name="_Toc297216209"/>
      <w:r>
        <w:rPr>
          <w:rFonts w:hint="eastAsia" w:ascii="宋体" w:hAnsi="宋体" w:eastAsia="宋体" w:cs="宋体"/>
          <w:color w:val="000000"/>
          <w:sz w:val="24"/>
          <w:highlight w:val="none"/>
        </w:rPr>
        <w:t>11.1 市场价格波动引起的调整</w:t>
      </w:r>
    </w:p>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p w14:paraId="2581770E">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市场价格波动是否调整合同价格的约定：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sz w:val="24"/>
          <w:highlight w:val="none"/>
        </w:rPr>
        <w:t>。</w:t>
      </w:r>
    </w:p>
    <w:p w14:paraId="13F3049F">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因市场价格波动调整合同价格，采用以下</w:t>
      </w:r>
      <w:r>
        <w:rPr>
          <w:rFonts w:hint="eastAsia" w:ascii="宋体" w:hAnsi="宋体" w:eastAsia="宋体" w:cs="宋体"/>
          <w:sz w:val="24"/>
          <w:highlight w:val="none"/>
        </w:rPr>
        <w:t>第</w:t>
      </w:r>
      <w:r>
        <w:rPr>
          <w:rFonts w:hint="eastAsia" w:ascii="宋体" w:hAnsi="宋体" w:eastAsia="宋体" w:cs="宋体"/>
          <w:color w:val="000000"/>
          <w:sz w:val="24"/>
          <w:highlight w:val="none"/>
        </w:rPr>
        <w:t>种方式对合同价格进行调整：</w:t>
      </w:r>
    </w:p>
    <w:p w14:paraId="24974081">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第1种方式：采用价格指数进行价格调整。</w:t>
      </w:r>
    </w:p>
    <w:p w14:paraId="179E1521">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关于各可调因子、定值和变值权重，以及基本价格指数及其来源的约定：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1649BC5D">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第2种方式：采用造价信息进行价格调整。</w:t>
      </w:r>
    </w:p>
    <w:p w14:paraId="5D1C2F90">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（2）关于基准价格的约定：</w:t>
      </w:r>
      <w:r>
        <w:rPr>
          <w:rFonts w:hint="eastAsia" w:ascii="宋体" w:hAnsi="宋体" w:eastAsia="宋体" w:cs="宋体"/>
          <w:sz w:val="24"/>
          <w:highlight w:val="none"/>
        </w:rPr>
        <w:t>。</w:t>
      </w:r>
    </w:p>
    <w:p w14:paraId="1424244D">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专用合同条款①承包人在已标价工程量清单或预算书中载明的材料单价低于基准价格的：专用合同条款合同履行期间材料单价涨幅以基准价格为基础超过%时，或材料单价跌幅以已标价工程量清单或预算书中载明材料单价为基础超过%时，其超过部分据实调整。</w:t>
      </w:r>
    </w:p>
    <w:p w14:paraId="0490AF34">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②承包人在已标价工程量清单或预算书中载明的材料单价高于基准价格的：专用合同条款合同履行期间材料单价跌幅以基准价格为基础超过%时，材料单价涨幅以已标价工程量清单或预算书中载明材料单价为基础超过%时，其超过部分据实调整。</w:t>
      </w:r>
    </w:p>
    <w:p w14:paraId="6C27D81A">
      <w:pPr>
        <w:keepLines w:val="0"/>
        <w:pageBreakBefore w:val="0"/>
        <w:widowControl w:val="0"/>
        <w:kinsoku/>
        <w:wordWrap/>
        <w:overflowPunct/>
        <w:topLinePunct w:val="0"/>
        <w:bidi w:val="0"/>
        <w:snapToGrid/>
        <w:spacing w:line="360" w:lineRule="auto"/>
        <w:ind w:firstLine="645"/>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③承包人在已标价工程量清单或预算书中载明的材料单价等于基准单价的：专用合同条款合同履行期间材料单价涨跌幅以基准单价为基础超过±%时，其超过部分据实调整。</w:t>
      </w:r>
    </w:p>
    <w:p w14:paraId="25FBC866">
      <w:pPr>
        <w:keepLines w:val="0"/>
        <w:pageBreakBefore w:val="0"/>
        <w:widowControl w:val="0"/>
        <w:kinsoku/>
        <w:wordWrap/>
        <w:overflowPunct/>
        <w:topLinePunct w:val="0"/>
        <w:bidi w:val="0"/>
        <w:snapToGrid/>
        <w:spacing w:line="360" w:lineRule="auto"/>
        <w:ind w:firstLine="645"/>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第3种方式：其他价格调整方式：</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bookmarkEnd w:id="721"/>
    <w:bookmarkEnd w:id="722"/>
    <w:bookmarkEnd w:id="723"/>
    <w:bookmarkEnd w:id="724"/>
    <w:bookmarkEnd w:id="725"/>
    <w:bookmarkEnd w:id="726"/>
    <w:p w14:paraId="562CA8ED">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850" w:name="_Toc296346706"/>
      <w:bookmarkStart w:id="851" w:name="_Toc297120505"/>
      <w:bookmarkStart w:id="852" w:name="_Toc296891245"/>
      <w:bookmarkStart w:id="853" w:name="_Toc292559410"/>
      <w:bookmarkStart w:id="854" w:name="_Toc296944544"/>
      <w:bookmarkStart w:id="855" w:name="_Toc296891033"/>
      <w:bookmarkStart w:id="856" w:name="_Toc292559915"/>
      <w:bookmarkStart w:id="857" w:name="_Toc296503205"/>
      <w:bookmarkStart w:id="858" w:name="_Toc296347204"/>
      <w:bookmarkStart w:id="859" w:name="_Toc297048391"/>
      <w:bookmarkStart w:id="860" w:name="_Toc351203644"/>
      <w:bookmarkStart w:id="861" w:name="_Toc303539159"/>
      <w:bookmarkStart w:id="862" w:name="_Toc312678040"/>
      <w:bookmarkStart w:id="863" w:name="_Toc300935002"/>
      <w:bookmarkStart w:id="864" w:name="_Toc297216211"/>
      <w:bookmarkStart w:id="865" w:name="_Toc304295579"/>
      <w:bookmarkStart w:id="866" w:name="_Toc297123552"/>
      <w:r>
        <w:rPr>
          <w:rFonts w:hint="eastAsia" w:ascii="宋体" w:hAnsi="宋体" w:eastAsia="宋体" w:cs="宋体"/>
          <w:bCs/>
          <w:color w:val="000000"/>
          <w:sz w:val="24"/>
          <w:highlight w:val="none"/>
        </w:rPr>
        <w:t xml:space="preserve">12. </w:t>
      </w:r>
      <w:bookmarkEnd w:id="850"/>
      <w:bookmarkEnd w:id="851"/>
      <w:bookmarkEnd w:id="852"/>
      <w:bookmarkEnd w:id="853"/>
      <w:bookmarkEnd w:id="854"/>
      <w:bookmarkEnd w:id="855"/>
      <w:bookmarkEnd w:id="856"/>
      <w:bookmarkEnd w:id="857"/>
      <w:bookmarkEnd w:id="858"/>
      <w:bookmarkEnd w:id="859"/>
      <w:r>
        <w:rPr>
          <w:rFonts w:hint="eastAsia" w:ascii="宋体" w:hAnsi="宋体" w:eastAsia="宋体" w:cs="宋体"/>
          <w:bCs/>
          <w:color w:val="000000"/>
          <w:sz w:val="24"/>
          <w:highlight w:val="none"/>
        </w:rPr>
        <w:t>合同价格、计量与支付</w:t>
      </w:r>
      <w:bookmarkEnd w:id="860"/>
    </w:p>
    <w:bookmarkEnd w:id="861"/>
    <w:bookmarkEnd w:id="862"/>
    <w:bookmarkEnd w:id="863"/>
    <w:bookmarkEnd w:id="864"/>
    <w:bookmarkEnd w:id="865"/>
    <w:bookmarkEnd w:id="866"/>
    <w:p w14:paraId="78426785">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bookmarkStart w:id="867" w:name="_Toc267251461"/>
      <w:bookmarkStart w:id="868" w:name="_Toc292559411"/>
      <w:bookmarkStart w:id="869" w:name="_Toc292559916"/>
      <w:bookmarkStart w:id="870" w:name="_Toc296891034"/>
      <w:bookmarkStart w:id="871" w:name="_Toc296944545"/>
      <w:bookmarkStart w:id="872" w:name="_Toc296346707"/>
      <w:bookmarkStart w:id="873" w:name="_Toc297048392"/>
      <w:bookmarkStart w:id="874" w:name="_Toc296891246"/>
      <w:bookmarkStart w:id="875" w:name="_Toc296503206"/>
      <w:bookmarkStart w:id="876" w:name="_Toc297120506"/>
      <w:bookmarkStart w:id="877" w:name="_Toc296347205"/>
      <w:bookmarkStart w:id="878" w:name="_Toc297123553"/>
      <w:bookmarkStart w:id="879" w:name="_Toc303539160"/>
      <w:bookmarkStart w:id="880" w:name="_Toc300935003"/>
      <w:bookmarkStart w:id="881" w:name="_Toc312678041"/>
      <w:bookmarkStart w:id="882" w:name="_Toc297216212"/>
      <w:bookmarkStart w:id="883" w:name="_Toc304295580"/>
      <w:r>
        <w:rPr>
          <w:rFonts w:hint="eastAsia" w:ascii="宋体" w:hAnsi="宋体" w:eastAsia="宋体" w:cs="宋体"/>
          <w:color w:val="000000"/>
          <w:sz w:val="24"/>
          <w:highlight w:val="none"/>
        </w:rPr>
        <w:t>12.1 合</w:t>
      </w:r>
      <w:bookmarkEnd w:id="867"/>
      <w:bookmarkEnd w:id="868"/>
      <w:bookmarkEnd w:id="869"/>
      <w:r>
        <w:rPr>
          <w:rFonts w:hint="eastAsia" w:ascii="宋体" w:hAnsi="宋体" w:eastAsia="宋体" w:cs="宋体"/>
          <w:color w:val="000000"/>
          <w:sz w:val="24"/>
          <w:highlight w:val="none"/>
        </w:rPr>
        <w:t>同价</w:t>
      </w:r>
      <w:bookmarkEnd w:id="870"/>
      <w:bookmarkEnd w:id="871"/>
      <w:bookmarkEnd w:id="872"/>
      <w:bookmarkEnd w:id="873"/>
      <w:bookmarkEnd w:id="874"/>
      <w:bookmarkEnd w:id="875"/>
      <w:bookmarkEnd w:id="876"/>
      <w:bookmarkEnd w:id="877"/>
      <w:r>
        <w:rPr>
          <w:rFonts w:hint="eastAsia" w:ascii="宋体" w:hAnsi="宋体" w:eastAsia="宋体" w:cs="宋体"/>
          <w:color w:val="000000"/>
          <w:sz w:val="24"/>
          <w:highlight w:val="none"/>
        </w:rPr>
        <w:t>格形式</w:t>
      </w:r>
    </w:p>
    <w:bookmarkEnd w:id="878"/>
    <w:bookmarkEnd w:id="879"/>
    <w:bookmarkEnd w:id="880"/>
    <w:bookmarkEnd w:id="881"/>
    <w:bookmarkEnd w:id="882"/>
    <w:bookmarkEnd w:id="883"/>
    <w:p w14:paraId="0DC446F1">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1、单价合同。</w:t>
      </w:r>
    </w:p>
    <w:p w14:paraId="42E10A3A">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综合单价包含的风险范围：</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3F0D1FE7">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风险费用的计算方法：</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2D0CF148">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风险范围以外合同价格的调整方法：</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4BF04569">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2、总价合同。</w:t>
      </w:r>
    </w:p>
    <w:p w14:paraId="55EA65A0">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总价包含的风险范围：</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6AF02EA4">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风险费用的计算方法：</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2C4E07BA">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风险范围以外合同价格的调整方法：</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47295871">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3、其他价格方式：</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49FB407C">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bookmarkStart w:id="884" w:name="_Toc312678042"/>
      <w:bookmarkStart w:id="885" w:name="_Toc300935004"/>
      <w:bookmarkStart w:id="886" w:name="_Toc297123554"/>
      <w:bookmarkStart w:id="887" w:name="_Toc297216213"/>
      <w:bookmarkStart w:id="888" w:name="_Toc304295581"/>
      <w:bookmarkStart w:id="889" w:name="_Toc303539161"/>
      <w:bookmarkStart w:id="890" w:name="_Toc297048393"/>
      <w:bookmarkStart w:id="891" w:name="_Toc296503207"/>
      <w:bookmarkStart w:id="892" w:name="_Toc296891247"/>
      <w:bookmarkStart w:id="893" w:name="_Toc292559917"/>
      <w:bookmarkStart w:id="894" w:name="_Toc296891035"/>
      <w:bookmarkStart w:id="895" w:name="_Toc296944546"/>
      <w:bookmarkStart w:id="896" w:name="_Toc297120507"/>
      <w:bookmarkStart w:id="897" w:name="_Toc292559412"/>
      <w:bookmarkStart w:id="898" w:name="_Toc296347206"/>
      <w:bookmarkStart w:id="899" w:name="_Toc296346708"/>
      <w:r>
        <w:rPr>
          <w:rFonts w:hint="eastAsia" w:ascii="宋体" w:hAnsi="宋体" w:eastAsia="宋体" w:cs="宋体"/>
          <w:color w:val="000000"/>
          <w:sz w:val="24"/>
          <w:highlight w:val="none"/>
        </w:rPr>
        <w:t>12.2 预付款</w:t>
      </w:r>
    </w:p>
    <w:bookmarkEnd w:id="884"/>
    <w:bookmarkEnd w:id="885"/>
    <w:bookmarkEnd w:id="886"/>
    <w:bookmarkEnd w:id="887"/>
    <w:bookmarkEnd w:id="888"/>
    <w:bookmarkEnd w:id="889"/>
    <w:p w14:paraId="74F84056">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12.2.1 预付款的支付</w:t>
      </w:r>
    </w:p>
    <w:p w14:paraId="7C36A6ED">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预付款支付比例或金额：</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7F6A89F0">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预付款支付期限：</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72DE9152">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预付款扣回的方式：</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55E582F6">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12.2.2 预付款担保</w:t>
      </w:r>
    </w:p>
    <w:p w14:paraId="7EAF988F">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承包人提交预付款担保的期限：</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5F4AFA02">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预付款担保的形式为：</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bookmarkEnd w:id="890"/>
    <w:bookmarkEnd w:id="891"/>
    <w:bookmarkEnd w:id="892"/>
    <w:bookmarkEnd w:id="893"/>
    <w:bookmarkEnd w:id="894"/>
    <w:bookmarkEnd w:id="895"/>
    <w:bookmarkEnd w:id="896"/>
    <w:bookmarkEnd w:id="897"/>
    <w:bookmarkEnd w:id="898"/>
    <w:bookmarkEnd w:id="899"/>
    <w:p w14:paraId="0E8D795C">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12.3 计量</w:t>
      </w:r>
    </w:p>
    <w:p w14:paraId="5CD3B927">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12.3.1 计量原则</w:t>
      </w:r>
    </w:p>
    <w:p w14:paraId="5BBB94A9">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工程量计算规则：</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5C9FBF7C">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12.3.2 计量周期</w:t>
      </w:r>
    </w:p>
    <w:p w14:paraId="1F7ED548">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关于计量周期的约定：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4BDD7A97">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12.3.3 单价合同的计量</w:t>
      </w:r>
    </w:p>
    <w:p w14:paraId="78D5CB6E">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关于单价合同计量的约定：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68C0A111">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12.3.4 总价合同的计量</w:t>
      </w:r>
    </w:p>
    <w:p w14:paraId="110D4BBC">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关于总价合同计量的约定：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1015316C">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12.3.5总价合同采用支付分解表计量支付的，是否适用第</w:t>
      </w:r>
      <w:r>
        <w:rPr>
          <w:rFonts w:hint="eastAsia" w:ascii="宋体" w:hAnsi="宋体" w:eastAsia="宋体" w:cs="宋体"/>
          <w:color w:val="000000"/>
          <w:kern w:val="0"/>
          <w:sz w:val="24"/>
          <w:highlight w:val="none"/>
        </w:rPr>
        <w:t xml:space="preserve">12.3.4 </w:t>
      </w:r>
      <w:r>
        <w:rPr>
          <w:rFonts w:hint="eastAsia" w:ascii="宋体" w:hAnsi="宋体" w:eastAsia="宋体" w:cs="宋体"/>
          <w:color w:val="000000"/>
          <w:sz w:val="24"/>
          <w:highlight w:val="none"/>
        </w:rPr>
        <w:t>项</w:t>
      </w:r>
      <w:r>
        <w:rPr>
          <w:rFonts w:hint="eastAsia" w:ascii="宋体" w:hAnsi="宋体" w:eastAsia="宋体" w:cs="宋体"/>
          <w:color w:val="000000"/>
          <w:kern w:val="0"/>
          <w:sz w:val="24"/>
          <w:highlight w:val="none"/>
        </w:rPr>
        <w:t>〔总价合同的计量〕</w:t>
      </w:r>
      <w:r>
        <w:rPr>
          <w:rFonts w:hint="eastAsia" w:ascii="宋体" w:hAnsi="宋体" w:eastAsia="宋体" w:cs="宋体"/>
          <w:color w:val="000000"/>
          <w:sz w:val="24"/>
          <w:highlight w:val="none"/>
        </w:rPr>
        <w:t>约定进行计量：</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5D9D5C6C">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12.3.6 其他价格形式合同的计量</w:t>
      </w:r>
    </w:p>
    <w:p w14:paraId="0C707607">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其他价格形式的计量方式和程序：</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2018D415">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12.4 工程进度款支付</w:t>
      </w:r>
    </w:p>
    <w:p w14:paraId="75C88D77">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bookmarkStart w:id="900" w:name="_Toc296891251"/>
      <w:bookmarkStart w:id="901" w:name="_Toc303539163"/>
      <w:bookmarkStart w:id="902" w:name="_Toc296346712"/>
      <w:bookmarkStart w:id="903" w:name="_Toc296891039"/>
      <w:bookmarkStart w:id="904" w:name="_Toc296944550"/>
      <w:bookmarkStart w:id="905" w:name="_Toc296347210"/>
      <w:bookmarkStart w:id="906" w:name="_Toc296503211"/>
      <w:bookmarkStart w:id="907" w:name="_Toc300935006"/>
      <w:bookmarkStart w:id="908" w:name="_Toc297048397"/>
      <w:bookmarkStart w:id="909" w:name="_Toc297120511"/>
      <w:bookmarkStart w:id="910" w:name="_Toc297216215"/>
      <w:bookmarkStart w:id="911" w:name="_Toc297123556"/>
      <w:bookmarkStart w:id="912" w:name="_Toc292559921"/>
      <w:bookmarkStart w:id="913" w:name="_Toc292559416"/>
      <w:r>
        <w:rPr>
          <w:rFonts w:hint="eastAsia" w:ascii="宋体" w:hAnsi="宋体" w:eastAsia="宋体" w:cs="宋体"/>
          <w:color w:val="000000"/>
          <w:sz w:val="24"/>
          <w:highlight w:val="none"/>
        </w:rPr>
        <w:t>12.4.1 付款周期</w:t>
      </w:r>
    </w:p>
    <w:p w14:paraId="77C7BE39">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关于付款周期的约定：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7302771C">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12.4.2 进度付款申请单的编制</w:t>
      </w:r>
    </w:p>
    <w:p w14:paraId="063D1956">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关于进度付款申请单编制的约定：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5B70178D">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r>
        <w:rPr>
          <w:rFonts w:hint="eastAsia" w:ascii="宋体" w:hAnsi="宋体" w:eastAsia="宋体" w:cs="宋体"/>
          <w:color w:val="000000"/>
          <w:sz w:val="24"/>
          <w:highlight w:val="none"/>
        </w:rPr>
        <w:t>2.4.3 进度付款申请单的提交</w:t>
      </w:r>
    </w:p>
    <w:p w14:paraId="3F258DD2">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（1）单价合同进度付款申请单提交的约定：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7AE75D0E">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（2）总价合同进度付款申请单提交的约定：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0474A7BE">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（3）其他价格形式合同进度付款申请单提交的约定：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0F98146E">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12.4.4 进度款审核和支付</w:t>
      </w:r>
    </w:p>
    <w:p w14:paraId="49D72B7E">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（1）监理人审查并报送发包人的期限：</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76EB9EA3">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发包人完成审批并签发进度款支付证书的期限：</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0CFFDF0A">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（2）发包人支付进度款的期限：</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36EEDF97">
      <w:pPr>
        <w:keepLines w:val="0"/>
        <w:pageBreakBefore w:val="0"/>
        <w:widowControl w:val="0"/>
        <w:kinsoku/>
        <w:wordWrap/>
        <w:overflowPunct/>
        <w:topLinePunct w:val="0"/>
        <w:bidi w:val="0"/>
        <w:snapToGrid/>
        <w:spacing w:line="360" w:lineRule="auto"/>
        <w:ind w:firstLine="600" w:firstLineChars="25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发包人逾期支付进度款的违约金的计算方式：</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5B343308">
      <w:pPr>
        <w:keepLines w:val="0"/>
        <w:pageBreakBefore w:val="0"/>
        <w:widowControl w:val="0"/>
        <w:kinsoku/>
        <w:wordWrap/>
        <w:overflowPunct/>
        <w:topLinePunct w:val="0"/>
        <w:bidi w:val="0"/>
        <w:snapToGrid/>
        <w:spacing w:line="360" w:lineRule="auto"/>
        <w:ind w:firstLine="600" w:firstLineChars="25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12.4.6 支付分解表的编制</w:t>
      </w:r>
    </w:p>
    <w:p w14:paraId="01FFA028">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2、总价合同支付分解表的编制与审批：</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27EB7BE5">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3、单价合同的总价项目支付分解表的编制与审批：</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bookmarkEnd w:id="727"/>
    <w:p w14:paraId="284670F5">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914" w:name="_Toc351203645"/>
      <w:bookmarkStart w:id="915" w:name="_Toc296346720"/>
      <w:bookmarkStart w:id="916" w:name="_Toc296503219"/>
      <w:bookmarkStart w:id="917" w:name="_Toc303539172"/>
      <w:bookmarkStart w:id="918" w:name="_Toc296891047"/>
      <w:bookmarkStart w:id="919" w:name="_Toc304295593"/>
      <w:bookmarkStart w:id="920" w:name="_Toc297216223"/>
      <w:bookmarkStart w:id="921" w:name="_Toc292559424"/>
      <w:bookmarkStart w:id="922" w:name="_Toc296891259"/>
      <w:bookmarkStart w:id="923" w:name="_Toc297120519"/>
      <w:bookmarkStart w:id="924" w:name="_Toc292559929"/>
      <w:bookmarkStart w:id="925" w:name="_Toc312678053"/>
      <w:bookmarkStart w:id="926" w:name="_Toc300935015"/>
      <w:bookmarkStart w:id="927" w:name="_Toc297123564"/>
      <w:bookmarkStart w:id="928" w:name="_Toc297048405"/>
      <w:bookmarkStart w:id="929" w:name="_Toc296944558"/>
      <w:bookmarkStart w:id="930" w:name="_Toc296347218"/>
      <w:r>
        <w:rPr>
          <w:rFonts w:hint="eastAsia" w:ascii="宋体" w:hAnsi="宋体" w:eastAsia="宋体" w:cs="宋体"/>
          <w:bCs/>
          <w:color w:val="000000"/>
          <w:sz w:val="24"/>
          <w:highlight w:val="none"/>
        </w:rPr>
        <w:t>13.验收和工程试车</w:t>
      </w:r>
      <w:bookmarkEnd w:id="914"/>
    </w:p>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p w14:paraId="581DA934">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13.1 分部分项工程验收</w:t>
      </w:r>
    </w:p>
    <w:p w14:paraId="31FE1A8D">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13.1.2监理人不能按时进行验收时，应提前小时提交书面延期要求。</w:t>
      </w:r>
    </w:p>
    <w:p w14:paraId="065899A3">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b/>
          <w:color w:val="000000"/>
          <w:sz w:val="24"/>
          <w:highlight w:val="none"/>
        </w:rPr>
      </w:pPr>
      <w:r>
        <w:rPr>
          <w:rFonts w:hint="eastAsia" w:ascii="宋体" w:hAnsi="宋体" w:eastAsia="宋体" w:cs="宋体"/>
          <w:sz w:val="24"/>
          <w:highlight w:val="none"/>
        </w:rPr>
        <w:t>关于延期最长不得超过：</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sz w:val="24"/>
          <w:highlight w:val="none"/>
        </w:rPr>
        <w:t>小时。</w:t>
      </w:r>
    </w:p>
    <w:p w14:paraId="4F5A0FD1">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bookmarkStart w:id="931" w:name="_Toc296346724"/>
      <w:bookmarkStart w:id="932" w:name="_Toc303539173"/>
      <w:bookmarkStart w:id="933" w:name="_Toc297123565"/>
      <w:bookmarkStart w:id="934" w:name="_Toc312678056"/>
      <w:bookmarkStart w:id="935" w:name="_Toc296503223"/>
      <w:bookmarkStart w:id="936" w:name="_Toc297048409"/>
      <w:bookmarkStart w:id="937" w:name="_Toc296891263"/>
      <w:bookmarkStart w:id="938" w:name="_Toc296944562"/>
      <w:bookmarkStart w:id="939" w:name="_Toc297216224"/>
      <w:bookmarkStart w:id="940" w:name="_Toc292559933"/>
      <w:bookmarkStart w:id="941" w:name="_Toc296891051"/>
      <w:bookmarkStart w:id="942" w:name="_Toc297120523"/>
      <w:bookmarkStart w:id="943" w:name="_Toc300935016"/>
      <w:bookmarkStart w:id="944" w:name="_Toc296347222"/>
      <w:bookmarkStart w:id="945" w:name="_Toc292559428"/>
      <w:bookmarkStart w:id="946" w:name="_Toc304295596"/>
      <w:bookmarkStart w:id="947" w:name="_Toc267251476"/>
      <w:bookmarkStart w:id="948" w:name="_Toc267251470"/>
      <w:bookmarkStart w:id="949" w:name="_Toc267251473"/>
      <w:bookmarkStart w:id="950" w:name="_Toc267251472"/>
      <w:bookmarkStart w:id="951" w:name="_Toc267251471"/>
      <w:bookmarkStart w:id="952" w:name="_Toc267251474"/>
      <w:bookmarkStart w:id="953" w:name="_Toc267251475"/>
      <w:r>
        <w:rPr>
          <w:rFonts w:hint="eastAsia" w:ascii="宋体" w:hAnsi="宋体" w:eastAsia="宋体" w:cs="宋体"/>
          <w:color w:val="000000"/>
          <w:sz w:val="24"/>
          <w:highlight w:val="none"/>
        </w:rPr>
        <w:t>13.2 竣工验收</w:t>
      </w:r>
    </w:p>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p w14:paraId="170403D6">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bookmarkStart w:id="954" w:name="_Toc280868704"/>
      <w:bookmarkStart w:id="955" w:name="_Toc280868705"/>
      <w:bookmarkStart w:id="956" w:name="_Toc280868706"/>
      <w:bookmarkStart w:id="957" w:name="_Toc280868707"/>
      <w:bookmarkStart w:id="958" w:name="_Toc280868708"/>
      <w:bookmarkStart w:id="959" w:name="_Toc280868709"/>
      <w:r>
        <w:rPr>
          <w:rFonts w:hint="eastAsia" w:ascii="宋体" w:hAnsi="宋体" w:eastAsia="宋体" w:cs="宋体"/>
          <w:color w:val="000000"/>
          <w:sz w:val="24"/>
          <w:highlight w:val="none"/>
        </w:rPr>
        <w:t>13.2.2竣工验收程序</w:t>
      </w:r>
    </w:p>
    <w:bookmarkEnd w:id="954"/>
    <w:p w14:paraId="027D90D6">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kern w:val="0"/>
          <w:sz w:val="24"/>
          <w:highlight w:val="none"/>
        </w:rPr>
        <w:t>关于竣工验收程序的约定：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08F1CBB9">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kern w:val="0"/>
          <w:sz w:val="24"/>
          <w:highlight w:val="none"/>
        </w:rPr>
        <w:t>发包人不按照本项约定组织竣工验收、颁发工程接收证书的违约金的计算方法：</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bookmarkEnd w:id="955"/>
    <w:p w14:paraId="06D3AE9A">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13.2.5移交、接收全部与部分工程</w:t>
      </w:r>
    </w:p>
    <w:bookmarkEnd w:id="956"/>
    <w:p w14:paraId="29156447">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承包人向发包人移交工程的期限：</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3E02475E">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kern w:val="0"/>
          <w:sz w:val="24"/>
          <w:highlight w:val="none"/>
        </w:rPr>
        <w:t>发包人未按本合同约定接收全部或部分工程的，违约金的计算方法为：</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bookmarkEnd w:id="957"/>
    <w:p w14:paraId="22ED17F0">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承包人未按时移交工程的，违约金的计算方法为：</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575E7D60">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13.3 工程试车</w:t>
      </w:r>
    </w:p>
    <w:bookmarkEnd w:id="958"/>
    <w:p w14:paraId="4610AB24">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13.3.1 试车程序</w:t>
      </w:r>
    </w:p>
    <w:p w14:paraId="25284F45">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kern w:val="0"/>
          <w:sz w:val="24"/>
          <w:highlight w:val="none"/>
        </w:rPr>
        <w:t>工程试车内容：</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7B6DF683">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（1）单机无负荷试车费用由承担；</w:t>
      </w:r>
    </w:p>
    <w:p w14:paraId="387C65CC">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（2）无负荷联动试车费用由承担。</w:t>
      </w:r>
    </w:p>
    <w:p w14:paraId="4635FFF9">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13.3.3 投料试车</w:t>
      </w:r>
    </w:p>
    <w:p w14:paraId="73AF528A">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kern w:val="0"/>
          <w:sz w:val="24"/>
          <w:highlight w:val="none"/>
        </w:rPr>
        <w:t>关于投料试车相关事项的约定：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1C462B94">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960" w:name="_Toc484"/>
      <w:bookmarkStart w:id="961" w:name="_Toc8100"/>
      <w:bookmarkStart w:id="962" w:name="_Toc212"/>
      <w:bookmarkStart w:id="963" w:name="_Toc18369"/>
      <w:bookmarkStart w:id="964" w:name="_Toc11922"/>
      <w:bookmarkStart w:id="965" w:name="_Toc11911"/>
      <w:bookmarkStart w:id="966" w:name="_Toc28440"/>
      <w:r>
        <w:rPr>
          <w:rFonts w:hint="eastAsia" w:ascii="宋体" w:hAnsi="宋体" w:eastAsia="宋体" w:cs="宋体"/>
          <w:color w:val="000000"/>
          <w:sz w:val="24"/>
          <w:highlight w:val="none"/>
        </w:rPr>
        <w:t>13.6 竣工退场</w:t>
      </w:r>
      <w:bookmarkEnd w:id="960"/>
      <w:bookmarkEnd w:id="961"/>
      <w:bookmarkEnd w:id="962"/>
      <w:bookmarkEnd w:id="963"/>
      <w:bookmarkEnd w:id="964"/>
      <w:bookmarkEnd w:id="965"/>
      <w:bookmarkEnd w:id="966"/>
    </w:p>
    <w:p w14:paraId="16D4C0AF">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13.6.1 竣工退场</w:t>
      </w:r>
    </w:p>
    <w:p w14:paraId="3927FC68">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承包人完成竣工退场的期限：</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6C710D37">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967" w:name="_Toc351203646"/>
      <w:r>
        <w:rPr>
          <w:rFonts w:hint="eastAsia" w:ascii="宋体" w:hAnsi="宋体" w:eastAsia="宋体" w:cs="宋体"/>
          <w:bCs/>
          <w:color w:val="000000"/>
          <w:sz w:val="24"/>
          <w:highlight w:val="none"/>
        </w:rPr>
        <w:t>14.竣工结算</w:t>
      </w:r>
      <w:bookmarkEnd w:id="967"/>
    </w:p>
    <w:p w14:paraId="427001BB">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14.1 竣工结算申请</w:t>
      </w:r>
    </w:p>
    <w:p w14:paraId="34C1CBD6">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sz w:val="24"/>
          <w:highlight w:val="none"/>
        </w:rPr>
        <w:t>承包人提交竣工结算申请单的期限：</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404768FC">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竣工结算申请单应包括的内容：</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69715BAF">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968" w:name="_Toc21994"/>
      <w:bookmarkStart w:id="969" w:name="_Toc12354"/>
      <w:bookmarkStart w:id="970" w:name="_Toc12239"/>
      <w:bookmarkStart w:id="971" w:name="_Toc1877"/>
      <w:bookmarkStart w:id="972" w:name="_Toc23020"/>
      <w:bookmarkStart w:id="973" w:name="_Toc14937"/>
      <w:bookmarkStart w:id="974" w:name="_Toc18528"/>
      <w:r>
        <w:rPr>
          <w:rFonts w:hint="eastAsia" w:ascii="宋体" w:hAnsi="宋体" w:eastAsia="宋体" w:cs="宋体"/>
          <w:color w:val="000000"/>
          <w:sz w:val="24"/>
          <w:highlight w:val="none"/>
        </w:rPr>
        <w:t>14.2 竣工结算审核</w:t>
      </w:r>
      <w:bookmarkEnd w:id="968"/>
      <w:bookmarkEnd w:id="969"/>
      <w:bookmarkEnd w:id="970"/>
      <w:bookmarkEnd w:id="971"/>
      <w:bookmarkEnd w:id="972"/>
      <w:bookmarkEnd w:id="973"/>
      <w:bookmarkEnd w:id="974"/>
    </w:p>
    <w:p w14:paraId="09A89C8F">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发包人审批竣工付款申请单的期限：</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3DC4528F">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sz w:val="24"/>
          <w:highlight w:val="none"/>
        </w:rPr>
        <w:t>发包人完成竣工付款的期限：</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2080E152">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关于竣工付款证书异议部分复核的方式和程序：</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424331F8">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14.4 最终结清</w:t>
      </w:r>
    </w:p>
    <w:p w14:paraId="56B2ED1A">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14.4.1 最终结清申请单</w:t>
      </w:r>
    </w:p>
    <w:p w14:paraId="4E5665C5">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承包人提交最终结清申请单的份数：</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3CB081FF">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color w:val="000000"/>
          <w:kern w:val="0"/>
          <w:sz w:val="24"/>
          <w:highlight w:val="none"/>
        </w:rPr>
        <w:t>承包人提交最终结算申请单的期限：</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2780FA5F">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14.4.2 最终结清证书和支付</w:t>
      </w:r>
    </w:p>
    <w:p w14:paraId="72446637">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（1）发包人完成最终结清申请单的审批并颁发最终结清证书的期限：</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50F5F99A">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（2）发包人完成支付的期限：</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bookmarkEnd w:id="947"/>
    <w:bookmarkEnd w:id="948"/>
    <w:bookmarkEnd w:id="949"/>
    <w:bookmarkEnd w:id="950"/>
    <w:bookmarkEnd w:id="951"/>
    <w:bookmarkEnd w:id="952"/>
    <w:bookmarkEnd w:id="953"/>
    <w:bookmarkEnd w:id="959"/>
    <w:p w14:paraId="5AA407F0">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975" w:name="_Toc351203647"/>
      <w:bookmarkStart w:id="976" w:name="_Toc267251483"/>
      <w:bookmarkStart w:id="977" w:name="_Toc267251484"/>
      <w:bookmarkStart w:id="978" w:name="_Toc267251482"/>
      <w:bookmarkStart w:id="979" w:name="_Toc267251485"/>
      <w:bookmarkStart w:id="980" w:name="_Toc267251489"/>
      <w:bookmarkStart w:id="981" w:name="_Toc267251486"/>
      <w:bookmarkStart w:id="982" w:name="_Toc267251488"/>
      <w:bookmarkStart w:id="983" w:name="_Toc267251490"/>
      <w:bookmarkStart w:id="984" w:name="_Toc267251494"/>
      <w:bookmarkStart w:id="985" w:name="_Toc267251493"/>
      <w:bookmarkStart w:id="986" w:name="_Toc267251495"/>
      <w:bookmarkStart w:id="987" w:name="_Toc267251498"/>
      <w:bookmarkStart w:id="988" w:name="_Toc267251492"/>
      <w:bookmarkStart w:id="989" w:name="_Toc267251502"/>
      <w:bookmarkStart w:id="990" w:name="_Toc267251497"/>
      <w:bookmarkStart w:id="991" w:name="_Toc267251491"/>
      <w:bookmarkStart w:id="992" w:name="_Toc267251496"/>
      <w:bookmarkStart w:id="993" w:name="_Toc267251503"/>
      <w:bookmarkStart w:id="994" w:name="_Toc267251501"/>
      <w:bookmarkStart w:id="995" w:name="_Toc267251499"/>
      <w:bookmarkStart w:id="996" w:name="_Toc267251504"/>
      <w:bookmarkStart w:id="997" w:name="_Toc267251506"/>
      <w:bookmarkStart w:id="998" w:name="_Toc267251507"/>
      <w:bookmarkStart w:id="999" w:name="_Toc267251508"/>
      <w:bookmarkStart w:id="1000" w:name="_Toc267251514"/>
      <w:bookmarkStart w:id="1001" w:name="_Toc267251510"/>
      <w:bookmarkStart w:id="1002" w:name="_Toc267251509"/>
      <w:bookmarkStart w:id="1003" w:name="_Toc267251513"/>
      <w:bookmarkStart w:id="1004" w:name="_Toc267251515"/>
      <w:bookmarkStart w:id="1005" w:name="_Toc267251511"/>
      <w:r>
        <w:rPr>
          <w:rFonts w:hint="eastAsia" w:ascii="宋体" w:hAnsi="宋体" w:eastAsia="宋体" w:cs="宋体"/>
          <w:bCs/>
          <w:color w:val="000000"/>
          <w:sz w:val="24"/>
          <w:highlight w:val="none"/>
        </w:rPr>
        <w:t>15. 缺陷责任期与保修</w:t>
      </w:r>
      <w:bookmarkEnd w:id="975"/>
    </w:p>
    <w:p w14:paraId="7B10400E">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15.2缺陷责任期</w:t>
      </w:r>
      <w:bookmarkEnd w:id="976"/>
    </w:p>
    <w:p w14:paraId="50C4A6DB">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缺陷责任期的具体期限：</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01854105">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1006" w:name="_Toc475"/>
      <w:bookmarkStart w:id="1007" w:name="_Toc12022"/>
      <w:bookmarkStart w:id="1008" w:name="_Toc10709"/>
      <w:bookmarkStart w:id="1009" w:name="_Toc16938"/>
      <w:bookmarkStart w:id="1010" w:name="_Toc25941"/>
      <w:bookmarkStart w:id="1011" w:name="_Toc8441"/>
      <w:bookmarkStart w:id="1012" w:name="_Toc17322"/>
      <w:bookmarkStart w:id="1013" w:name="_Toc26360"/>
      <w:r>
        <w:rPr>
          <w:rFonts w:hint="eastAsia" w:ascii="宋体" w:hAnsi="宋体" w:eastAsia="宋体" w:cs="宋体"/>
          <w:color w:val="000000"/>
          <w:sz w:val="24"/>
          <w:highlight w:val="none"/>
        </w:rPr>
        <w:t>15.3 质量保证金</w:t>
      </w:r>
      <w:bookmarkEnd w:id="1006"/>
      <w:bookmarkEnd w:id="1007"/>
      <w:bookmarkEnd w:id="1008"/>
      <w:bookmarkEnd w:id="1009"/>
      <w:bookmarkEnd w:id="1010"/>
      <w:bookmarkEnd w:id="1011"/>
      <w:bookmarkEnd w:id="1012"/>
      <w:bookmarkEnd w:id="1013"/>
    </w:p>
    <w:p w14:paraId="13A1BDF2">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关于是否扣留质量保证金的约定：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。在工程项目竣工前，承包人按专用合同条款第3.7条提供履约担保的，发包人不得同时预留工程质量保证金。</w:t>
      </w:r>
    </w:p>
    <w:p w14:paraId="51F032B9">
      <w:pPr>
        <w:keepLines w:val="0"/>
        <w:pageBreakBefore w:val="0"/>
        <w:widowControl w:val="0"/>
        <w:kinsoku/>
        <w:wordWrap/>
        <w:overflowPunct/>
        <w:topLinePunct w:val="0"/>
        <w:bidi w:val="0"/>
        <w:snapToGrid/>
        <w:spacing w:line="360" w:lineRule="auto"/>
        <w:ind w:firstLine="480" w:firstLineChars="200"/>
        <w:jc w:val="left"/>
        <w:textAlignment w:val="auto"/>
        <w:outlineLvl w:val="0"/>
        <w:rPr>
          <w:rFonts w:hint="eastAsia" w:ascii="宋体" w:hAnsi="宋体" w:eastAsia="宋体" w:cs="宋体"/>
          <w:color w:val="000000"/>
          <w:sz w:val="24"/>
          <w:highlight w:val="none"/>
        </w:rPr>
      </w:pPr>
      <w:bookmarkStart w:id="1014" w:name="_Toc27466"/>
      <w:bookmarkStart w:id="1015" w:name="_Toc1673"/>
      <w:bookmarkStart w:id="1016" w:name="_Toc13602"/>
      <w:bookmarkStart w:id="1017" w:name="_Toc14694"/>
      <w:bookmarkStart w:id="1018" w:name="_Toc21401"/>
      <w:bookmarkStart w:id="1019" w:name="_Toc16193"/>
      <w:bookmarkStart w:id="1020" w:name="_Toc28763"/>
      <w:bookmarkStart w:id="1021" w:name="_Toc5123"/>
      <w:r>
        <w:rPr>
          <w:rFonts w:hint="eastAsia" w:ascii="宋体" w:hAnsi="宋体" w:eastAsia="宋体" w:cs="宋体"/>
          <w:color w:val="000000"/>
          <w:sz w:val="24"/>
          <w:highlight w:val="none"/>
        </w:rPr>
        <w:t>15.3.1 承包人提供质量保证金的方式</w:t>
      </w:r>
      <w:bookmarkEnd w:id="1014"/>
      <w:bookmarkEnd w:id="1015"/>
      <w:bookmarkEnd w:id="1016"/>
      <w:bookmarkEnd w:id="1017"/>
      <w:bookmarkEnd w:id="1018"/>
      <w:bookmarkEnd w:id="1019"/>
      <w:bookmarkEnd w:id="1020"/>
      <w:bookmarkEnd w:id="1021"/>
    </w:p>
    <w:p w14:paraId="14931F0B">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质量保证金采用以下第种方式：</w:t>
      </w:r>
    </w:p>
    <w:p w14:paraId="4A6E3F78">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（1）质量保证金保函，保证金额为：</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 xml:space="preserve">； </w:t>
      </w:r>
    </w:p>
    <w:p w14:paraId="7BBC9714">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%的工程款；</w:t>
      </w:r>
    </w:p>
    <w:p w14:paraId="777BA5C4">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（3）其他方式:</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31C2B72E">
      <w:pPr>
        <w:keepLines w:val="0"/>
        <w:pageBreakBefore w:val="0"/>
        <w:widowControl w:val="0"/>
        <w:kinsoku/>
        <w:wordWrap/>
        <w:overflowPunct/>
        <w:topLinePunct w:val="0"/>
        <w:bidi w:val="0"/>
        <w:snapToGrid/>
        <w:spacing w:line="360" w:lineRule="auto"/>
        <w:ind w:firstLine="480" w:firstLineChars="200"/>
        <w:jc w:val="left"/>
        <w:textAlignment w:val="auto"/>
        <w:outlineLvl w:val="0"/>
        <w:rPr>
          <w:rFonts w:hint="eastAsia" w:ascii="宋体" w:hAnsi="宋体" w:eastAsia="宋体" w:cs="宋体"/>
          <w:color w:val="000000"/>
          <w:sz w:val="24"/>
          <w:highlight w:val="none"/>
        </w:rPr>
      </w:pPr>
      <w:bookmarkStart w:id="1022" w:name="_Toc931"/>
      <w:bookmarkStart w:id="1023" w:name="_Toc25735"/>
      <w:bookmarkStart w:id="1024" w:name="_Toc19792"/>
      <w:bookmarkStart w:id="1025" w:name="_Toc29661"/>
      <w:bookmarkStart w:id="1026" w:name="_Toc22452"/>
      <w:bookmarkStart w:id="1027" w:name="_Toc5973"/>
      <w:bookmarkStart w:id="1028" w:name="_Toc10205"/>
      <w:bookmarkStart w:id="1029" w:name="_Toc10912"/>
      <w:r>
        <w:rPr>
          <w:rFonts w:hint="eastAsia" w:ascii="宋体" w:hAnsi="宋体" w:eastAsia="宋体" w:cs="宋体"/>
          <w:color w:val="000000"/>
          <w:sz w:val="24"/>
          <w:highlight w:val="none"/>
        </w:rPr>
        <w:t>15.3.2 质量保证金的扣留</w:t>
      </w:r>
      <w:bookmarkEnd w:id="1022"/>
      <w:bookmarkEnd w:id="1023"/>
      <w:bookmarkEnd w:id="1024"/>
      <w:bookmarkEnd w:id="1025"/>
      <w:bookmarkEnd w:id="1026"/>
      <w:bookmarkEnd w:id="1027"/>
      <w:bookmarkEnd w:id="1028"/>
      <w:bookmarkEnd w:id="1029"/>
    </w:p>
    <w:p w14:paraId="203C4E47">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质量保证金的扣留采取以下第种方式：</w:t>
      </w:r>
    </w:p>
    <w:p w14:paraId="671352FC">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（1）在支付工程进度款时逐次扣留，在此情形下，质量保证金的计算基数不包括预付款的支付、扣回以及价格调整的金额；</w:t>
      </w:r>
    </w:p>
    <w:p w14:paraId="1481DBB1">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0"/>
        <w:rPr>
          <w:rFonts w:hint="eastAsia" w:ascii="宋体" w:hAnsi="宋体" w:eastAsia="宋体" w:cs="宋体"/>
          <w:color w:val="000000"/>
          <w:kern w:val="0"/>
          <w:sz w:val="24"/>
          <w:highlight w:val="none"/>
        </w:rPr>
      </w:pPr>
      <w:bookmarkStart w:id="1030" w:name="_Toc9106"/>
      <w:bookmarkStart w:id="1031" w:name="_Toc20988"/>
      <w:bookmarkStart w:id="1032" w:name="_Toc9208"/>
      <w:bookmarkStart w:id="1033" w:name="_Toc6954"/>
      <w:bookmarkStart w:id="1034" w:name="_Toc23311"/>
      <w:bookmarkStart w:id="1035" w:name="_Toc623"/>
      <w:bookmarkStart w:id="1036" w:name="_Toc29464"/>
      <w:bookmarkStart w:id="1037" w:name="_Toc23472"/>
      <w:r>
        <w:rPr>
          <w:rFonts w:hint="eastAsia" w:ascii="宋体" w:hAnsi="宋体" w:eastAsia="宋体" w:cs="宋体"/>
          <w:color w:val="000000"/>
          <w:kern w:val="0"/>
          <w:sz w:val="24"/>
          <w:highlight w:val="none"/>
        </w:rPr>
        <w:t>（2）工程竣工结算时一次性扣留质量保证金；</w:t>
      </w:r>
      <w:bookmarkEnd w:id="1030"/>
      <w:bookmarkEnd w:id="1031"/>
      <w:bookmarkEnd w:id="1032"/>
      <w:bookmarkEnd w:id="1033"/>
      <w:bookmarkEnd w:id="1034"/>
      <w:bookmarkEnd w:id="1035"/>
      <w:bookmarkEnd w:id="1036"/>
      <w:bookmarkEnd w:id="1037"/>
    </w:p>
    <w:p w14:paraId="7E5C525D">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（3）其他扣留方式:</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7D416327">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sz w:val="24"/>
          <w:highlight w:val="none"/>
        </w:rPr>
        <w:t>关于质量保证金的补充约定：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bookmarkEnd w:id="977"/>
    <w:bookmarkEnd w:id="978"/>
    <w:p w14:paraId="70E40A2B">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15.4保修</w:t>
      </w:r>
    </w:p>
    <w:bookmarkEnd w:id="979"/>
    <w:p w14:paraId="1CBE43AB">
      <w:pPr>
        <w:keepLines w:val="0"/>
        <w:pageBreakBefore w:val="0"/>
        <w:widowControl w:val="0"/>
        <w:kinsoku/>
        <w:wordWrap/>
        <w:overflowPunct/>
        <w:topLinePunct w:val="0"/>
        <w:bidi w:val="0"/>
        <w:snapToGrid/>
        <w:spacing w:line="360" w:lineRule="auto"/>
        <w:ind w:firstLine="468" w:firstLineChars="195"/>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15.4.1 保修责任</w:t>
      </w:r>
    </w:p>
    <w:p w14:paraId="640A22F4">
      <w:pPr>
        <w:keepLines w:val="0"/>
        <w:pageBreakBefore w:val="0"/>
        <w:widowControl w:val="0"/>
        <w:kinsoku/>
        <w:wordWrap/>
        <w:overflowPunct/>
        <w:topLinePunct w:val="0"/>
        <w:bidi w:val="0"/>
        <w:snapToGrid/>
        <w:spacing w:line="360" w:lineRule="auto"/>
        <w:ind w:firstLine="468" w:firstLineChars="195"/>
        <w:jc w:val="left"/>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sz w:val="24"/>
          <w:highlight w:val="none"/>
        </w:rPr>
        <w:t>工程保修期为：</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2A3ED5EB">
      <w:pPr>
        <w:keepLines w:val="0"/>
        <w:pageBreakBefore w:val="0"/>
        <w:widowControl w:val="0"/>
        <w:kinsoku/>
        <w:wordWrap/>
        <w:overflowPunct/>
        <w:topLinePunct w:val="0"/>
        <w:bidi w:val="0"/>
        <w:snapToGrid/>
        <w:spacing w:line="360" w:lineRule="auto"/>
        <w:ind w:firstLine="468" w:firstLineChars="195"/>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15.4.3 修复通知</w:t>
      </w:r>
    </w:p>
    <w:p w14:paraId="1598596D">
      <w:pPr>
        <w:keepLines w:val="0"/>
        <w:pageBreakBefore w:val="0"/>
        <w:widowControl w:val="0"/>
        <w:kinsoku/>
        <w:wordWrap/>
        <w:overflowPunct/>
        <w:topLinePunct w:val="0"/>
        <w:bidi w:val="0"/>
        <w:snapToGrid/>
        <w:spacing w:line="360" w:lineRule="auto"/>
        <w:ind w:firstLine="468" w:firstLineChars="195"/>
        <w:jc w:val="left"/>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rPr>
        <w:t>承包人收到保修通知并到达工程现场的合理时间：</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bookmarkEnd w:id="980"/>
    <w:bookmarkEnd w:id="981"/>
    <w:bookmarkEnd w:id="982"/>
    <w:bookmarkEnd w:id="983"/>
    <w:p w14:paraId="537255EF">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1038" w:name="_Toc351203648"/>
      <w:bookmarkStart w:id="1039" w:name="_Toc280868717"/>
      <w:bookmarkStart w:id="1040" w:name="_Toc280868718"/>
      <w:r>
        <w:rPr>
          <w:rFonts w:hint="eastAsia" w:ascii="宋体" w:hAnsi="宋体" w:eastAsia="宋体" w:cs="宋体"/>
          <w:bCs/>
          <w:color w:val="000000"/>
          <w:sz w:val="24"/>
          <w:highlight w:val="none"/>
        </w:rPr>
        <w:t>16.违约</w:t>
      </w:r>
      <w:bookmarkEnd w:id="1038"/>
    </w:p>
    <w:p w14:paraId="79E7AB58">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1041" w:name="_Toc24729"/>
      <w:bookmarkStart w:id="1042" w:name="_Toc6416"/>
      <w:bookmarkStart w:id="1043" w:name="_Toc23927"/>
      <w:bookmarkStart w:id="1044" w:name="_Toc8813"/>
      <w:bookmarkStart w:id="1045" w:name="_Toc21649"/>
      <w:bookmarkStart w:id="1046" w:name="_Toc3354"/>
      <w:bookmarkStart w:id="1047" w:name="_Toc11936"/>
      <w:bookmarkStart w:id="1048" w:name="_Toc7724"/>
      <w:r>
        <w:rPr>
          <w:rFonts w:hint="eastAsia" w:ascii="宋体" w:hAnsi="宋体" w:eastAsia="宋体" w:cs="宋体"/>
          <w:color w:val="000000"/>
          <w:sz w:val="24"/>
          <w:highlight w:val="none"/>
        </w:rPr>
        <w:t>16.1 发包人违约</w:t>
      </w:r>
      <w:bookmarkEnd w:id="1041"/>
      <w:bookmarkEnd w:id="1042"/>
      <w:bookmarkEnd w:id="1043"/>
      <w:bookmarkEnd w:id="1044"/>
      <w:bookmarkEnd w:id="1045"/>
      <w:bookmarkEnd w:id="1046"/>
      <w:bookmarkEnd w:id="1047"/>
      <w:bookmarkEnd w:id="1048"/>
    </w:p>
    <w:p w14:paraId="341F1319">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16.1.1发包人违约的情形</w:t>
      </w:r>
    </w:p>
    <w:p w14:paraId="2B3AF1EE">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rPr>
        <w:t>发包人违约的其他情形：</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7EB4A81F">
      <w:pPr>
        <w:keepLines w:val="0"/>
        <w:pageBreakBefore w:val="0"/>
        <w:widowControl w:val="0"/>
        <w:kinsoku/>
        <w:wordWrap/>
        <w:overflowPunct/>
        <w:topLinePunct w:val="0"/>
        <w:bidi w:val="0"/>
        <w:snapToGrid/>
        <w:spacing w:line="360" w:lineRule="auto"/>
        <w:ind w:left="1200" w:hanging="1200" w:hangingChars="5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    16.1.2 发包人违约的责任</w:t>
      </w:r>
    </w:p>
    <w:p w14:paraId="4F8E7F46">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发包人违约责任的承担方式和计算方法：</w:t>
      </w:r>
    </w:p>
    <w:p w14:paraId="02F2F08F">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rPr>
        <w:t>（1）因发包人原因未能在计划开工日期前7天内下达开工通知的违约责任：</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113DD1B0">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（2）因发包人原因未能按合同约定支付合同价款的违约责任：</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6DC72AA1">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rPr>
        <w:t>（3）发包人违反第10.1款〔变更的范围〕第（2）项约定，自行实施被取消的工作或转由他人实施的违约责任：</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731FBBE3">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5E4738B5">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rPr>
        <w:t>（5）因发包人违反合同约定造成暂停施工的违约责任：</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0D6E8993">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（6）发包人无正当理由没有在约定期限内发出复工指示，导致承包人无法复工的违约责任：</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45DE2256">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（7）其他：</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62B122F9">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16.1.3 因发包人违约解除合同</w:t>
      </w:r>
    </w:p>
    <w:p w14:paraId="22C13D24">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承包人按16.1.1项〔发包人违约的情形〕约定暂停施工满天后发包人仍不纠正其违约行为并致使合同目的不能实现的，承包人有权解除合同。</w:t>
      </w:r>
    </w:p>
    <w:p w14:paraId="7C73A2FA">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1049" w:name="_Toc12972"/>
      <w:bookmarkStart w:id="1050" w:name="_Toc1000"/>
      <w:bookmarkStart w:id="1051" w:name="_Toc20056"/>
      <w:bookmarkStart w:id="1052" w:name="_Toc14868"/>
      <w:bookmarkStart w:id="1053" w:name="_Toc24345"/>
      <w:bookmarkStart w:id="1054" w:name="_Toc7864"/>
      <w:bookmarkStart w:id="1055" w:name="_Toc1253"/>
      <w:bookmarkStart w:id="1056" w:name="_Toc18763"/>
      <w:r>
        <w:rPr>
          <w:rFonts w:hint="eastAsia" w:ascii="宋体" w:hAnsi="宋体" w:eastAsia="宋体" w:cs="宋体"/>
          <w:color w:val="000000"/>
          <w:sz w:val="24"/>
          <w:highlight w:val="none"/>
        </w:rPr>
        <w:t>16.2 承包人违约</w:t>
      </w:r>
      <w:bookmarkEnd w:id="1049"/>
      <w:bookmarkEnd w:id="1050"/>
      <w:bookmarkEnd w:id="1051"/>
      <w:bookmarkEnd w:id="1052"/>
      <w:bookmarkEnd w:id="1053"/>
      <w:bookmarkEnd w:id="1054"/>
      <w:bookmarkEnd w:id="1055"/>
      <w:bookmarkEnd w:id="1056"/>
    </w:p>
    <w:p w14:paraId="54FE5F79">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16.2.1 承包人违约的情形</w:t>
      </w:r>
    </w:p>
    <w:p w14:paraId="7C591109">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rPr>
        <w:t>承包人违约的其他情形：</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2B7B4772">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16.2.2承包人违约的责任</w:t>
      </w:r>
    </w:p>
    <w:p w14:paraId="0C37E42D">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rPr>
        <w:t>承包人违约责任的承担方式和计算方法：</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4FA0809B">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16.2.3 因承包人违约解除合同</w:t>
      </w:r>
    </w:p>
    <w:p w14:paraId="7E08BE32">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rPr>
        <w:t>关于承包人违约解除合同的特别约定：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4E381CF4">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539C9685">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1057" w:name="_Toc351203649"/>
      <w:r>
        <w:rPr>
          <w:rFonts w:hint="eastAsia" w:ascii="宋体" w:hAnsi="宋体" w:eastAsia="宋体" w:cs="宋体"/>
          <w:bCs/>
          <w:color w:val="000000"/>
          <w:sz w:val="24"/>
          <w:highlight w:val="none"/>
        </w:rPr>
        <w:t>17.不可抗力</w:t>
      </w:r>
      <w:bookmarkEnd w:id="1039"/>
      <w:bookmarkEnd w:id="1057"/>
    </w:p>
    <w:p w14:paraId="6E3FC9DA">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17.1 不可抗力的确认</w:t>
      </w:r>
    </w:p>
    <w:p w14:paraId="3C80069C">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sz w:val="24"/>
          <w:highlight w:val="none"/>
        </w:rPr>
        <w:t>除通用合同条款约定的不可抗力事件之外，视为不可抗力的其他情形：</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336F69A4">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1058" w:name="_Toc5922"/>
      <w:bookmarkStart w:id="1059" w:name="_Toc14827"/>
      <w:bookmarkStart w:id="1060" w:name="_Toc4804"/>
      <w:bookmarkStart w:id="1061" w:name="_Toc31146"/>
      <w:bookmarkStart w:id="1062" w:name="_Toc16367"/>
      <w:bookmarkStart w:id="1063" w:name="_Toc26034"/>
      <w:bookmarkStart w:id="1064" w:name="_Toc28644"/>
      <w:bookmarkStart w:id="1065" w:name="_Toc10729"/>
      <w:r>
        <w:rPr>
          <w:rFonts w:hint="eastAsia" w:ascii="宋体" w:hAnsi="宋体" w:eastAsia="宋体" w:cs="宋体"/>
          <w:color w:val="000000"/>
          <w:sz w:val="24"/>
          <w:highlight w:val="none"/>
        </w:rPr>
        <w:t>17.4 因不可抗力解除合同</w:t>
      </w:r>
      <w:bookmarkEnd w:id="1058"/>
      <w:bookmarkEnd w:id="1059"/>
      <w:bookmarkEnd w:id="1060"/>
      <w:bookmarkEnd w:id="1061"/>
      <w:bookmarkEnd w:id="1062"/>
      <w:bookmarkEnd w:id="1063"/>
      <w:bookmarkEnd w:id="1064"/>
      <w:bookmarkEnd w:id="1065"/>
    </w:p>
    <w:p w14:paraId="07667B16">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合同解除后，发包人应在商定或确定发包人应支付款项后天内完成款项的支付。</w:t>
      </w:r>
    </w:p>
    <w:p w14:paraId="17D5535B">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1066" w:name="_Toc351203650"/>
      <w:r>
        <w:rPr>
          <w:rFonts w:hint="eastAsia" w:ascii="宋体" w:hAnsi="宋体" w:eastAsia="宋体" w:cs="宋体"/>
          <w:bCs/>
          <w:color w:val="000000"/>
          <w:sz w:val="24"/>
          <w:highlight w:val="none"/>
        </w:rPr>
        <w:t>18.保险</w:t>
      </w:r>
      <w:bookmarkEnd w:id="1066"/>
    </w:p>
    <w:bookmarkEnd w:id="1040"/>
    <w:p w14:paraId="287C9B3A">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18.1 工程保险</w:t>
      </w:r>
    </w:p>
    <w:p w14:paraId="37DAD37D">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关于工程保险的特别约定：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2A40C3F6">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1067" w:name="_Toc17640"/>
      <w:bookmarkStart w:id="1068" w:name="_Toc24158"/>
      <w:bookmarkStart w:id="1069" w:name="_Toc8817"/>
      <w:bookmarkStart w:id="1070" w:name="_Toc3679"/>
      <w:bookmarkStart w:id="1071" w:name="_Toc13404"/>
      <w:bookmarkStart w:id="1072" w:name="_Toc11501"/>
      <w:bookmarkStart w:id="1073" w:name="_Toc7608"/>
      <w:bookmarkStart w:id="1074" w:name="_Toc14776"/>
      <w:r>
        <w:rPr>
          <w:rFonts w:hint="eastAsia" w:ascii="宋体" w:hAnsi="宋体" w:eastAsia="宋体" w:cs="宋体"/>
          <w:color w:val="000000"/>
          <w:sz w:val="24"/>
          <w:highlight w:val="none"/>
        </w:rPr>
        <w:t>18.3 其他保险</w:t>
      </w:r>
      <w:bookmarkEnd w:id="1067"/>
      <w:bookmarkEnd w:id="1068"/>
      <w:bookmarkEnd w:id="1069"/>
      <w:bookmarkEnd w:id="1070"/>
      <w:bookmarkEnd w:id="1071"/>
      <w:bookmarkEnd w:id="1072"/>
      <w:bookmarkEnd w:id="1073"/>
      <w:bookmarkEnd w:id="1074"/>
    </w:p>
    <w:p w14:paraId="7BD60EE5">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关于其他保险的约定：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0C152A34">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承包人是否应为其施工设备等办理财产保险：</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6D1F2DEE">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18.7 通知义务</w:t>
      </w:r>
    </w:p>
    <w:p w14:paraId="6A2D1865">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kern w:val="0"/>
          <w:sz w:val="24"/>
          <w:highlight w:val="none"/>
        </w:rPr>
        <w:t>关于变更保险合同时的通知义务的约定：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bookmarkEnd w:id="984"/>
    <w:bookmarkEnd w:id="985"/>
    <w:bookmarkEnd w:id="986"/>
    <w:bookmarkEnd w:id="987"/>
    <w:bookmarkEnd w:id="988"/>
    <w:bookmarkEnd w:id="989"/>
    <w:bookmarkEnd w:id="990"/>
    <w:bookmarkEnd w:id="991"/>
    <w:bookmarkEnd w:id="992"/>
    <w:bookmarkEnd w:id="993"/>
    <w:bookmarkEnd w:id="994"/>
    <w:bookmarkEnd w:id="995"/>
    <w:p w14:paraId="16D75CAE">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1075" w:name="_Toc351203651"/>
      <w:r>
        <w:rPr>
          <w:rFonts w:hint="eastAsia" w:ascii="宋体" w:hAnsi="宋体" w:eastAsia="宋体" w:cs="宋体"/>
          <w:bCs/>
          <w:color w:val="000000"/>
          <w:sz w:val="24"/>
          <w:highlight w:val="none"/>
        </w:rPr>
        <w:t>19.争议解决</w:t>
      </w:r>
      <w:bookmarkEnd w:id="1075"/>
    </w:p>
    <w:bookmarkEnd w:id="996"/>
    <w:bookmarkEnd w:id="997"/>
    <w:p w14:paraId="420BE98E">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1076" w:name="_Toc7514"/>
      <w:bookmarkStart w:id="1077" w:name="_Toc13521"/>
      <w:bookmarkStart w:id="1078" w:name="_Toc12278"/>
      <w:bookmarkStart w:id="1079" w:name="_Toc23812"/>
      <w:bookmarkStart w:id="1080" w:name="_Toc26063"/>
      <w:bookmarkStart w:id="1081" w:name="_Toc26525"/>
      <w:bookmarkStart w:id="1082" w:name="_Toc5052"/>
      <w:bookmarkStart w:id="1083" w:name="_Toc2355"/>
      <w:r>
        <w:rPr>
          <w:rFonts w:hint="eastAsia" w:ascii="宋体" w:hAnsi="宋体" w:eastAsia="宋体" w:cs="宋体"/>
          <w:color w:val="000000"/>
          <w:sz w:val="24"/>
          <w:highlight w:val="none"/>
        </w:rPr>
        <w:t>19.3 争</w:t>
      </w:r>
      <w:bookmarkEnd w:id="998"/>
      <w:r>
        <w:rPr>
          <w:rFonts w:hint="eastAsia" w:ascii="宋体" w:hAnsi="宋体" w:eastAsia="宋体" w:cs="宋体"/>
          <w:color w:val="000000"/>
          <w:sz w:val="24"/>
          <w:highlight w:val="none"/>
        </w:rPr>
        <w:t>议评审</w:t>
      </w:r>
      <w:bookmarkEnd w:id="1076"/>
      <w:bookmarkEnd w:id="1077"/>
      <w:bookmarkEnd w:id="1078"/>
      <w:bookmarkEnd w:id="1079"/>
      <w:bookmarkEnd w:id="1080"/>
      <w:bookmarkEnd w:id="1081"/>
      <w:bookmarkEnd w:id="1082"/>
      <w:bookmarkEnd w:id="1083"/>
    </w:p>
    <w:p w14:paraId="1B59548D">
      <w:pPr>
        <w:keepLines w:val="0"/>
        <w:pageBreakBefore w:val="0"/>
        <w:widowControl w:val="0"/>
        <w:kinsoku/>
        <w:wordWrap/>
        <w:overflowPunct/>
        <w:topLinePunct w:val="0"/>
        <w:bidi w:val="0"/>
        <w:snapToGrid/>
        <w:spacing w:line="360" w:lineRule="auto"/>
        <w:ind w:left="149" w:leftChars="71" w:firstLine="360" w:firstLineChars="15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合同当事人是否同意将工程争议提交争议评审小组决定：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 xml:space="preserve">。  </w:t>
      </w:r>
    </w:p>
    <w:p w14:paraId="2DF82FD0">
      <w:pPr>
        <w:keepLines w:val="0"/>
        <w:pageBreakBefore w:val="0"/>
        <w:widowControl w:val="0"/>
        <w:kinsoku/>
        <w:wordWrap/>
        <w:overflowPunct/>
        <w:topLinePunct w:val="0"/>
        <w:bidi w:val="0"/>
        <w:snapToGrid/>
        <w:spacing w:line="360" w:lineRule="auto"/>
        <w:ind w:firstLine="480" w:firstLineChars="200"/>
        <w:jc w:val="left"/>
        <w:textAlignment w:val="auto"/>
        <w:outlineLvl w:val="0"/>
        <w:rPr>
          <w:rFonts w:hint="eastAsia" w:ascii="宋体" w:hAnsi="宋体" w:eastAsia="宋体" w:cs="宋体"/>
          <w:color w:val="000000"/>
          <w:sz w:val="24"/>
          <w:highlight w:val="none"/>
        </w:rPr>
      </w:pPr>
      <w:bookmarkStart w:id="1084" w:name="_Toc29868"/>
      <w:bookmarkStart w:id="1085" w:name="_Toc26470"/>
      <w:bookmarkStart w:id="1086" w:name="_Toc10918"/>
      <w:bookmarkStart w:id="1087" w:name="_Toc20361"/>
      <w:bookmarkStart w:id="1088" w:name="_Toc9130"/>
      <w:bookmarkStart w:id="1089" w:name="_Toc29346"/>
      <w:bookmarkStart w:id="1090" w:name="_Toc6837"/>
      <w:bookmarkStart w:id="1091" w:name="_Toc28480"/>
      <w:r>
        <w:rPr>
          <w:rFonts w:hint="eastAsia" w:ascii="宋体" w:hAnsi="宋体" w:eastAsia="宋体" w:cs="宋体"/>
          <w:color w:val="000000"/>
          <w:sz w:val="24"/>
          <w:highlight w:val="none"/>
        </w:rPr>
        <w:t>19.3.1 争议评审小组的确定</w:t>
      </w:r>
      <w:bookmarkEnd w:id="1084"/>
      <w:bookmarkEnd w:id="1085"/>
      <w:bookmarkEnd w:id="1086"/>
      <w:bookmarkEnd w:id="1087"/>
      <w:bookmarkEnd w:id="1088"/>
      <w:bookmarkEnd w:id="1089"/>
      <w:bookmarkEnd w:id="1090"/>
      <w:bookmarkEnd w:id="1091"/>
    </w:p>
    <w:p w14:paraId="181AE64B">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争议评审小组成员的确定：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4CDE38CC">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选定争议评审员的期限：</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6D97F0B8">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争议评审小组成员的报酬承担方式：</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0A0FD018">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其他事项的约定：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01AF6C6B">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0"/>
        <w:rPr>
          <w:rFonts w:hint="eastAsia" w:ascii="宋体" w:hAnsi="宋体" w:eastAsia="宋体" w:cs="宋体"/>
          <w:color w:val="000000"/>
          <w:kern w:val="0"/>
          <w:sz w:val="24"/>
          <w:highlight w:val="none"/>
        </w:rPr>
      </w:pPr>
      <w:bookmarkStart w:id="1092" w:name="_Toc23660"/>
      <w:bookmarkStart w:id="1093" w:name="_Toc6980"/>
      <w:bookmarkStart w:id="1094" w:name="_Toc28050"/>
      <w:bookmarkStart w:id="1095" w:name="_Toc9968"/>
      <w:bookmarkStart w:id="1096" w:name="_Toc5810"/>
      <w:bookmarkStart w:id="1097" w:name="_Toc20456"/>
      <w:bookmarkStart w:id="1098" w:name="_Toc11838"/>
      <w:bookmarkStart w:id="1099" w:name="_Toc3198"/>
      <w:r>
        <w:rPr>
          <w:rFonts w:hint="eastAsia" w:ascii="宋体" w:hAnsi="宋体" w:eastAsia="宋体" w:cs="宋体"/>
          <w:color w:val="000000"/>
          <w:kern w:val="0"/>
          <w:sz w:val="24"/>
          <w:highlight w:val="none"/>
        </w:rPr>
        <w:t>19.3.2 争议评审小组的决定</w:t>
      </w:r>
      <w:bookmarkEnd w:id="1092"/>
      <w:bookmarkEnd w:id="1093"/>
      <w:bookmarkEnd w:id="1094"/>
      <w:bookmarkEnd w:id="1095"/>
      <w:bookmarkEnd w:id="1096"/>
      <w:bookmarkEnd w:id="1097"/>
      <w:bookmarkEnd w:id="1098"/>
      <w:bookmarkEnd w:id="1099"/>
    </w:p>
    <w:p w14:paraId="1110A3AE">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合同当事人关于本项的约定：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192B3E76">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1100" w:name="_Toc8923"/>
      <w:bookmarkStart w:id="1101" w:name="_Toc24092"/>
      <w:bookmarkStart w:id="1102" w:name="_Toc27361"/>
      <w:bookmarkStart w:id="1103" w:name="_Toc17901"/>
      <w:bookmarkStart w:id="1104" w:name="_Toc19038"/>
      <w:bookmarkStart w:id="1105" w:name="_Toc19485"/>
      <w:bookmarkStart w:id="1106" w:name="_Toc19138"/>
      <w:bookmarkStart w:id="1107" w:name="_Toc1419"/>
      <w:r>
        <w:rPr>
          <w:rFonts w:hint="eastAsia" w:ascii="宋体" w:hAnsi="宋体" w:eastAsia="宋体" w:cs="宋体"/>
          <w:color w:val="000000"/>
          <w:sz w:val="24"/>
          <w:highlight w:val="none"/>
        </w:rPr>
        <w:t>19.4仲裁或诉讼</w:t>
      </w:r>
      <w:bookmarkEnd w:id="999"/>
      <w:bookmarkEnd w:id="1100"/>
      <w:bookmarkEnd w:id="1101"/>
      <w:bookmarkEnd w:id="1102"/>
      <w:bookmarkEnd w:id="1103"/>
      <w:bookmarkEnd w:id="1104"/>
      <w:bookmarkEnd w:id="1105"/>
      <w:bookmarkEnd w:id="1106"/>
      <w:bookmarkEnd w:id="1107"/>
    </w:p>
    <w:bookmarkEnd w:id="1000"/>
    <w:bookmarkEnd w:id="1001"/>
    <w:bookmarkEnd w:id="1002"/>
    <w:bookmarkEnd w:id="1003"/>
    <w:bookmarkEnd w:id="1004"/>
    <w:bookmarkEnd w:id="1005"/>
    <w:p w14:paraId="0102AAD5">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0"/>
        <w:rPr>
          <w:rFonts w:hint="eastAsia" w:ascii="宋体" w:hAnsi="宋体" w:eastAsia="宋体" w:cs="宋体"/>
          <w:color w:val="000000"/>
          <w:kern w:val="0"/>
          <w:sz w:val="24"/>
          <w:highlight w:val="none"/>
        </w:rPr>
      </w:pPr>
      <w:bookmarkStart w:id="1108" w:name="_Toc20927"/>
      <w:bookmarkStart w:id="1109" w:name="_Toc15110"/>
      <w:bookmarkStart w:id="1110" w:name="_Toc8433"/>
      <w:bookmarkStart w:id="1111" w:name="_Toc25203"/>
      <w:r>
        <w:rPr>
          <w:rFonts w:hint="eastAsia" w:ascii="宋体" w:hAnsi="宋体" w:eastAsia="宋体" w:cs="宋体"/>
          <w:color w:val="000000"/>
          <w:kern w:val="0"/>
          <w:sz w:val="24"/>
          <w:highlight w:val="none"/>
        </w:rPr>
        <w:t>因合同及合同有关事项发生的争议，按下列第</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2</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rPr>
        <w:t>种方式解决：</w:t>
      </w:r>
      <w:bookmarkEnd w:id="1108"/>
      <w:bookmarkEnd w:id="1109"/>
      <w:bookmarkEnd w:id="1110"/>
      <w:bookmarkEnd w:id="1111"/>
    </w:p>
    <w:p w14:paraId="404736D9">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0"/>
        <w:rPr>
          <w:rFonts w:hint="eastAsia" w:ascii="宋体" w:hAnsi="宋体" w:eastAsia="宋体" w:cs="宋体"/>
          <w:color w:val="000000"/>
          <w:kern w:val="0"/>
          <w:sz w:val="24"/>
          <w:highlight w:val="none"/>
        </w:rPr>
      </w:pPr>
      <w:bookmarkStart w:id="1112" w:name="_Toc8587"/>
      <w:bookmarkStart w:id="1113" w:name="_Toc12830"/>
      <w:bookmarkStart w:id="1114" w:name="_Toc3709"/>
      <w:bookmarkStart w:id="1115" w:name="_Toc29884"/>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1</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rPr>
        <w:t>向</w:t>
      </w:r>
      <w:r>
        <w:rPr>
          <w:rFonts w:hint="eastAsia" w:ascii="宋体" w:hAnsi="宋体" w:eastAsia="宋体" w:cs="宋体"/>
          <w:color w:val="000000"/>
          <w:kern w:val="0"/>
          <w:sz w:val="24"/>
          <w:highlight w:val="none"/>
          <w:u w:val="single"/>
          <w:lang w:val="en-US" w:eastAsia="zh-CN"/>
        </w:rPr>
        <w:t xml:space="preserve">  /   </w:t>
      </w:r>
      <w:r>
        <w:rPr>
          <w:rFonts w:hint="eastAsia" w:ascii="宋体" w:hAnsi="宋体" w:eastAsia="宋体" w:cs="宋体"/>
          <w:color w:val="000000"/>
          <w:kern w:val="0"/>
          <w:sz w:val="24"/>
          <w:highlight w:val="none"/>
        </w:rPr>
        <w:t>仲裁委员会申请仲裁；</w:t>
      </w:r>
      <w:bookmarkEnd w:id="1112"/>
      <w:bookmarkEnd w:id="1113"/>
      <w:bookmarkEnd w:id="1114"/>
      <w:bookmarkEnd w:id="1115"/>
    </w:p>
    <w:p w14:paraId="10482534">
      <w:pPr>
        <w:keepNext/>
        <w:keepLines/>
        <w:pageBreakBefore w:val="0"/>
        <w:widowControl w:val="0"/>
        <w:kinsoku/>
        <w:wordWrap/>
        <w:overflowPunct/>
        <w:topLinePunct w:val="0"/>
        <w:autoSpaceDE/>
        <w:autoSpaceDN/>
        <w:bidi w:val="0"/>
        <w:adjustRightInd/>
        <w:snapToGrid/>
        <w:spacing w:line="720" w:lineRule="auto"/>
        <w:ind w:firstLine="480" w:firstLineChars="200"/>
        <w:jc w:val="both"/>
        <w:textAlignment w:val="auto"/>
        <w:outlineLvl w:val="0"/>
        <w:rPr>
          <w:rFonts w:hint="eastAsia" w:ascii="宋体" w:hAnsi="宋体" w:eastAsia="宋体" w:cs="宋体"/>
          <w:color w:val="000000"/>
          <w:kern w:val="0"/>
          <w:sz w:val="24"/>
          <w:highlight w:val="none"/>
        </w:rPr>
      </w:pPr>
      <w:bookmarkStart w:id="1116" w:name="_Toc15455"/>
      <w:bookmarkStart w:id="1117" w:name="_Toc9198"/>
      <w:bookmarkStart w:id="1118" w:name="_Toc30819"/>
      <w:bookmarkStart w:id="1119" w:name="_Toc27856"/>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2</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rPr>
        <w:t>向</w:t>
      </w:r>
      <w:r>
        <w:rPr>
          <w:rFonts w:hint="eastAsia" w:ascii="宋体" w:hAnsi="宋体" w:eastAsia="宋体" w:cs="宋体"/>
          <w:color w:val="000000"/>
          <w:kern w:val="0"/>
          <w:sz w:val="24"/>
          <w:highlight w:val="none"/>
          <w:u w:val="single"/>
        </w:rPr>
        <w:t>工程所在地</w:t>
      </w:r>
      <w:r>
        <w:rPr>
          <w:rFonts w:hint="eastAsia" w:ascii="宋体" w:hAnsi="宋体" w:eastAsia="宋体" w:cs="宋体"/>
          <w:color w:val="000000"/>
          <w:kern w:val="0"/>
          <w:sz w:val="24"/>
          <w:highlight w:val="none"/>
        </w:rPr>
        <w:t>人民法院起诉。</w:t>
      </w:r>
      <w:bookmarkEnd w:id="1116"/>
      <w:bookmarkEnd w:id="1117"/>
      <w:bookmarkEnd w:id="1118"/>
      <w:bookmarkEnd w:id="1119"/>
    </w:p>
    <w:p w14:paraId="138EC8F0">
      <w:pPr>
        <w:rPr>
          <w:rFonts w:hint="eastAsia" w:ascii="宋体" w:hAnsi="宋体" w:eastAsia="宋体" w:cs="宋体"/>
          <w:color w:val="000000"/>
          <w:kern w:val="0"/>
          <w:sz w:val="24"/>
          <w:highlight w:val="none"/>
        </w:rPr>
      </w:pPr>
    </w:p>
    <w:p w14:paraId="5A372AA1">
      <w:pPr>
        <w:rPr>
          <w:rFonts w:hint="eastAsia" w:ascii="宋体" w:hAnsi="宋体" w:eastAsia="宋体" w:cs="宋体"/>
          <w:color w:val="000000"/>
          <w:kern w:val="0"/>
          <w:sz w:val="24"/>
          <w:highlight w:val="none"/>
        </w:rPr>
      </w:pPr>
    </w:p>
    <w:p w14:paraId="2B9BEE0E">
      <w:pPr>
        <w:rPr>
          <w:rFonts w:hint="eastAsia" w:ascii="宋体" w:hAnsi="宋体" w:eastAsia="宋体" w:cs="宋体"/>
          <w:color w:val="000000"/>
          <w:kern w:val="0"/>
          <w:sz w:val="24"/>
          <w:highlight w:val="none"/>
        </w:rPr>
      </w:pPr>
    </w:p>
    <w:p w14:paraId="5C4E3F29">
      <w:pPr>
        <w:rPr>
          <w:rFonts w:hint="eastAsia" w:ascii="宋体" w:hAnsi="宋体" w:eastAsia="宋体" w:cs="宋体"/>
          <w:color w:val="000000"/>
          <w:kern w:val="0"/>
          <w:sz w:val="24"/>
          <w:highlight w:val="none"/>
        </w:rPr>
      </w:pPr>
    </w:p>
    <w:p w14:paraId="01B36A4C">
      <w:pPr>
        <w:rPr>
          <w:rFonts w:hint="eastAsia" w:ascii="宋体" w:hAnsi="宋体" w:eastAsia="宋体" w:cs="宋体"/>
          <w:color w:val="000000"/>
          <w:kern w:val="0"/>
          <w:sz w:val="24"/>
          <w:highlight w:val="none"/>
        </w:rPr>
      </w:pPr>
    </w:p>
    <w:p w14:paraId="7DDE5976">
      <w:pPr>
        <w:rPr>
          <w:rFonts w:hint="eastAsia" w:ascii="宋体" w:hAnsi="宋体" w:eastAsia="宋体" w:cs="宋体"/>
          <w:color w:val="000000"/>
          <w:kern w:val="0"/>
          <w:sz w:val="24"/>
          <w:highlight w:val="none"/>
        </w:rPr>
      </w:pPr>
    </w:p>
    <w:p w14:paraId="41C9AB45">
      <w:pPr>
        <w:rPr>
          <w:rFonts w:hint="eastAsia" w:ascii="宋体" w:hAnsi="宋体" w:eastAsia="宋体" w:cs="宋体"/>
          <w:color w:val="000000"/>
          <w:kern w:val="0"/>
          <w:sz w:val="24"/>
          <w:highlight w:val="none"/>
        </w:rPr>
      </w:pPr>
    </w:p>
    <w:p w14:paraId="024E9098">
      <w:pPr>
        <w:rPr>
          <w:rFonts w:hint="eastAsia" w:ascii="宋体" w:hAnsi="宋体" w:eastAsia="宋体" w:cs="宋体"/>
          <w:color w:val="000000"/>
          <w:kern w:val="0"/>
          <w:sz w:val="24"/>
          <w:highlight w:val="none"/>
        </w:rPr>
      </w:pPr>
    </w:p>
    <w:p w14:paraId="140A5081">
      <w:pPr>
        <w:rPr>
          <w:rFonts w:hint="eastAsia" w:ascii="宋体" w:hAnsi="宋体" w:eastAsia="宋体" w:cs="宋体"/>
          <w:color w:val="000000"/>
          <w:kern w:val="0"/>
          <w:sz w:val="24"/>
          <w:highlight w:val="none"/>
        </w:rPr>
      </w:pPr>
    </w:p>
    <w:p w14:paraId="76FD2FB9">
      <w:pPr>
        <w:rPr>
          <w:rFonts w:hint="eastAsia" w:ascii="宋体" w:hAnsi="宋体" w:eastAsia="宋体" w:cs="宋体"/>
          <w:color w:val="000000"/>
          <w:kern w:val="0"/>
          <w:sz w:val="24"/>
          <w:highlight w:val="none"/>
        </w:rPr>
      </w:pPr>
    </w:p>
    <w:p w14:paraId="6A04CDE3">
      <w:pPr>
        <w:rPr>
          <w:rFonts w:hint="eastAsia" w:ascii="宋体" w:hAnsi="宋体" w:eastAsia="宋体" w:cs="宋体"/>
          <w:color w:val="000000"/>
          <w:kern w:val="0"/>
          <w:sz w:val="24"/>
          <w:highlight w:val="none"/>
        </w:rPr>
      </w:pPr>
    </w:p>
    <w:p w14:paraId="0F33ECAC">
      <w:pPr>
        <w:rPr>
          <w:rFonts w:hint="eastAsia" w:ascii="宋体" w:hAnsi="宋体" w:eastAsia="宋体" w:cs="宋体"/>
          <w:color w:val="000000"/>
          <w:kern w:val="0"/>
          <w:sz w:val="24"/>
          <w:highlight w:val="none"/>
        </w:rPr>
      </w:pPr>
    </w:p>
    <w:p w14:paraId="6F85FC91">
      <w:pPr>
        <w:rPr>
          <w:rFonts w:hint="eastAsia" w:ascii="宋体" w:hAnsi="宋体" w:eastAsia="宋体" w:cs="宋体"/>
          <w:color w:val="000000"/>
          <w:kern w:val="0"/>
          <w:sz w:val="24"/>
          <w:highlight w:val="none"/>
        </w:rPr>
      </w:pPr>
    </w:p>
    <w:p w14:paraId="49D5AADF">
      <w:pPr>
        <w:rPr>
          <w:rFonts w:hint="eastAsia" w:ascii="宋体" w:hAnsi="宋体" w:eastAsia="宋体" w:cs="宋体"/>
          <w:color w:val="000000"/>
          <w:kern w:val="0"/>
          <w:sz w:val="24"/>
          <w:highlight w:val="none"/>
        </w:rPr>
      </w:pPr>
    </w:p>
    <w:p w14:paraId="28E97441">
      <w:pPr>
        <w:rPr>
          <w:rFonts w:hint="eastAsia" w:ascii="宋体" w:hAnsi="宋体" w:eastAsia="宋体" w:cs="宋体"/>
          <w:color w:val="000000"/>
          <w:kern w:val="0"/>
          <w:sz w:val="24"/>
          <w:highlight w:val="none"/>
        </w:rPr>
      </w:pPr>
    </w:p>
    <w:p w14:paraId="0D244024">
      <w:pPr>
        <w:rPr>
          <w:rFonts w:hint="eastAsia" w:ascii="宋体" w:hAnsi="宋体" w:eastAsia="宋体" w:cs="宋体"/>
          <w:color w:val="000000"/>
          <w:kern w:val="0"/>
          <w:sz w:val="24"/>
          <w:highlight w:val="none"/>
        </w:rPr>
      </w:pPr>
    </w:p>
    <w:p w14:paraId="7A49BAFF">
      <w:pPr>
        <w:rPr>
          <w:rFonts w:hint="eastAsia" w:ascii="宋体" w:hAnsi="宋体" w:eastAsia="宋体" w:cs="宋体"/>
          <w:color w:val="000000"/>
          <w:kern w:val="0"/>
          <w:sz w:val="24"/>
          <w:highlight w:val="none"/>
        </w:rPr>
      </w:pPr>
    </w:p>
    <w:p w14:paraId="08D43B0C">
      <w:pPr>
        <w:rPr>
          <w:rFonts w:hint="eastAsia" w:ascii="宋体" w:hAnsi="宋体" w:eastAsia="宋体" w:cs="宋体"/>
          <w:color w:val="000000"/>
          <w:kern w:val="0"/>
          <w:sz w:val="24"/>
          <w:highlight w:val="none"/>
        </w:rPr>
      </w:pPr>
    </w:p>
    <w:p w14:paraId="1F411B9E">
      <w:pPr>
        <w:rPr>
          <w:rFonts w:hint="eastAsia" w:ascii="宋体" w:hAnsi="宋体" w:eastAsia="宋体" w:cs="宋体"/>
          <w:color w:val="000000"/>
          <w:kern w:val="0"/>
          <w:sz w:val="24"/>
          <w:highlight w:val="none"/>
        </w:rPr>
      </w:pPr>
    </w:p>
    <w:p w14:paraId="5E2EE98A">
      <w:pPr>
        <w:rPr>
          <w:rFonts w:hint="eastAsia" w:ascii="宋体" w:hAnsi="宋体" w:eastAsia="宋体" w:cs="宋体"/>
          <w:color w:val="000000"/>
          <w:kern w:val="0"/>
          <w:sz w:val="24"/>
          <w:highlight w:val="none"/>
        </w:rPr>
      </w:pPr>
    </w:p>
    <w:p w14:paraId="742AE104">
      <w:pPr>
        <w:rPr>
          <w:rFonts w:hint="eastAsia" w:ascii="宋体" w:hAnsi="宋体" w:eastAsia="宋体" w:cs="宋体"/>
          <w:color w:val="000000"/>
          <w:kern w:val="0"/>
          <w:sz w:val="24"/>
          <w:highlight w:val="none"/>
        </w:rPr>
      </w:pPr>
    </w:p>
    <w:p w14:paraId="213C00DB">
      <w:pPr>
        <w:rPr>
          <w:rFonts w:hint="eastAsia" w:ascii="宋体" w:hAnsi="宋体" w:eastAsia="宋体" w:cs="宋体"/>
          <w:color w:val="000000"/>
          <w:kern w:val="0"/>
          <w:sz w:val="24"/>
          <w:highlight w:val="none"/>
        </w:rPr>
      </w:pPr>
    </w:p>
    <w:p w14:paraId="4D6CA32A">
      <w:pPr>
        <w:rPr>
          <w:rFonts w:hint="eastAsia" w:ascii="宋体" w:hAnsi="宋体" w:eastAsia="宋体" w:cs="宋体"/>
          <w:color w:val="000000"/>
          <w:kern w:val="0"/>
          <w:sz w:val="24"/>
          <w:highlight w:val="none"/>
        </w:rPr>
      </w:pPr>
    </w:p>
    <w:p w14:paraId="52E41A88">
      <w:pPr>
        <w:rPr>
          <w:rFonts w:hint="eastAsia" w:ascii="宋体" w:hAnsi="宋体" w:eastAsia="宋体" w:cs="宋体"/>
          <w:color w:val="000000"/>
          <w:kern w:val="0"/>
          <w:sz w:val="24"/>
          <w:highlight w:val="none"/>
        </w:rPr>
      </w:pPr>
    </w:p>
    <w:p w14:paraId="4339ED4B">
      <w:pPr>
        <w:rPr>
          <w:rFonts w:hint="eastAsia" w:ascii="宋体" w:hAnsi="宋体" w:eastAsia="宋体" w:cs="宋体"/>
          <w:color w:val="000000"/>
          <w:kern w:val="0"/>
          <w:sz w:val="24"/>
          <w:highlight w:val="none"/>
        </w:rPr>
      </w:pPr>
    </w:p>
    <w:p w14:paraId="077DAF01">
      <w:pPr>
        <w:rPr>
          <w:rFonts w:hint="eastAsia" w:ascii="宋体" w:hAnsi="宋体" w:eastAsia="宋体" w:cs="宋体"/>
          <w:color w:val="000000"/>
          <w:kern w:val="0"/>
          <w:sz w:val="24"/>
          <w:highlight w:val="none"/>
        </w:rPr>
      </w:pPr>
    </w:p>
    <w:p w14:paraId="0B8D0DD7">
      <w:pPr>
        <w:rPr>
          <w:rFonts w:hint="eastAsia" w:ascii="宋体" w:hAnsi="宋体" w:eastAsia="宋体" w:cs="宋体"/>
          <w:color w:val="000000"/>
          <w:kern w:val="0"/>
          <w:sz w:val="24"/>
          <w:highlight w:val="none"/>
        </w:rPr>
      </w:pPr>
    </w:p>
    <w:p w14:paraId="5C43BEB3">
      <w:pPr>
        <w:keepNext/>
        <w:keepLines/>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b/>
          <w:bCs/>
          <w:sz w:val="36"/>
          <w:szCs w:val="40"/>
          <w:highlight w:val="none"/>
        </w:rPr>
      </w:pPr>
      <w:bookmarkStart w:id="1120" w:name="_Toc21354"/>
      <w:bookmarkStart w:id="1121" w:name="_Toc24613"/>
      <w:r>
        <w:rPr>
          <w:rFonts w:hint="eastAsia"/>
          <w:b/>
          <w:bCs/>
          <w:sz w:val="36"/>
          <w:szCs w:val="40"/>
          <w:highlight w:val="none"/>
        </w:rPr>
        <w:t>第五章  评标办法（综合评</w:t>
      </w:r>
      <w:r>
        <w:rPr>
          <w:rFonts w:hint="eastAsia"/>
          <w:b/>
          <w:bCs/>
          <w:sz w:val="36"/>
          <w:szCs w:val="40"/>
          <w:highlight w:val="none"/>
          <w:lang w:val="en-US" w:eastAsia="zh-CN"/>
        </w:rPr>
        <w:t>分</w:t>
      </w:r>
      <w:r>
        <w:rPr>
          <w:rFonts w:hint="eastAsia"/>
          <w:b/>
          <w:bCs/>
          <w:sz w:val="36"/>
          <w:szCs w:val="40"/>
          <w:highlight w:val="none"/>
        </w:rPr>
        <w:t>法）</w:t>
      </w:r>
      <w:bookmarkEnd w:id="1120"/>
      <w:bookmarkEnd w:id="1121"/>
    </w:p>
    <w:p w14:paraId="2B260EFF">
      <w:pPr>
        <w:pageBreakBefore w:val="0"/>
        <w:kinsoku/>
        <w:overflowPunct/>
        <w:topLinePunct w:val="0"/>
        <w:bidi w:val="0"/>
        <w:jc w:val="center"/>
        <w:outlineLvl w:val="9"/>
        <w:rPr>
          <w:rFonts w:hint="eastAsia" w:ascii="宋体" w:hAnsi="宋体" w:eastAsia="宋体" w:cs="宋体"/>
          <w:b/>
          <w:bCs/>
          <w:color w:val="000000"/>
          <w:kern w:val="0"/>
          <w:sz w:val="28"/>
          <w:szCs w:val="32"/>
          <w:highlight w:val="none"/>
          <w:lang w:val="zh-CN"/>
        </w:rPr>
      </w:pPr>
      <w:r>
        <w:rPr>
          <w:rFonts w:hint="eastAsia" w:ascii="宋体" w:hAnsi="宋体" w:eastAsia="宋体" w:cs="宋体"/>
          <w:b/>
          <w:bCs/>
          <w:color w:val="000000"/>
          <w:kern w:val="0"/>
          <w:sz w:val="28"/>
          <w:szCs w:val="32"/>
          <w:highlight w:val="none"/>
          <w:lang w:val="zh-CN"/>
        </w:rPr>
        <w:t>评标</w:t>
      </w:r>
      <w:r>
        <w:rPr>
          <w:rFonts w:hint="eastAsia" w:ascii="宋体" w:hAnsi="宋体" w:eastAsia="宋体" w:cs="宋体"/>
          <w:b/>
          <w:color w:val="000000"/>
          <w:kern w:val="0"/>
          <w:sz w:val="28"/>
          <w:szCs w:val="32"/>
          <w:highlight w:val="none"/>
          <w:lang w:val="zh-CN"/>
        </w:rPr>
        <w:t>办法前</w:t>
      </w:r>
      <w:r>
        <w:rPr>
          <w:rFonts w:hint="eastAsia" w:ascii="宋体" w:hAnsi="宋体" w:eastAsia="宋体" w:cs="宋体"/>
          <w:b/>
          <w:bCs/>
          <w:color w:val="000000"/>
          <w:kern w:val="0"/>
          <w:sz w:val="28"/>
          <w:szCs w:val="32"/>
          <w:highlight w:val="none"/>
          <w:lang w:val="zh-CN"/>
        </w:rPr>
        <w:t>附表</w:t>
      </w:r>
    </w:p>
    <w:tbl>
      <w:tblPr>
        <w:tblStyle w:val="23"/>
        <w:tblW w:w="9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276"/>
        <w:gridCol w:w="1938"/>
        <w:gridCol w:w="5677"/>
      </w:tblGrid>
      <w:tr w14:paraId="7FFC3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826" w:type="dxa"/>
            <w:gridSpan w:val="4"/>
            <w:tcMar>
              <w:left w:w="57" w:type="dxa"/>
              <w:right w:w="57" w:type="dxa"/>
            </w:tcMar>
            <w:vAlign w:val="center"/>
          </w:tcPr>
          <w:p w14:paraId="268E95F1">
            <w:pPr>
              <w:pStyle w:val="43"/>
              <w:pageBreakBefore w:val="0"/>
              <w:kinsoku/>
              <w:overflowPunct/>
              <w:topLinePunct w:val="0"/>
              <w:bidi w:val="0"/>
              <w:spacing w:before="206" w:line="360" w:lineRule="auto"/>
              <w:ind w:right="139"/>
              <w:jc w:val="left"/>
              <w:outlineLvl w:val="9"/>
              <w:rPr>
                <w:rFonts w:hint="default" w:eastAsiaTheme="minorEastAsia"/>
                <w:b/>
                <w:bCs/>
                <w:sz w:val="24"/>
                <w:szCs w:val="22"/>
                <w:highlight w:val="none"/>
                <w:lang w:val="en-US" w:eastAsia="zh-CN"/>
              </w:rPr>
            </w:pPr>
            <w:r>
              <w:rPr>
                <w:rFonts w:hint="eastAsia"/>
                <w:b/>
                <w:bCs/>
                <w:sz w:val="28"/>
                <w:szCs w:val="24"/>
                <w:highlight w:val="none"/>
                <w:lang w:val="en-US" w:eastAsia="zh-CN"/>
              </w:rPr>
              <w:t>一标段、二标段</w:t>
            </w:r>
          </w:p>
        </w:tc>
      </w:tr>
      <w:tr w14:paraId="1FCA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211" w:type="dxa"/>
            <w:gridSpan w:val="2"/>
            <w:tcMar>
              <w:left w:w="57" w:type="dxa"/>
              <w:right w:w="57" w:type="dxa"/>
            </w:tcMar>
            <w:vAlign w:val="center"/>
          </w:tcPr>
          <w:p w14:paraId="563A3E7A">
            <w:pPr>
              <w:pStyle w:val="43"/>
              <w:pageBreakBefore w:val="0"/>
              <w:kinsoku/>
              <w:overflowPunct/>
              <w:topLinePunct w:val="0"/>
              <w:bidi w:val="0"/>
              <w:spacing w:before="206"/>
              <w:ind w:left="147" w:right="139"/>
              <w:jc w:val="both"/>
              <w:outlineLvl w:val="9"/>
              <w:rPr>
                <w:b/>
                <w:bCs/>
                <w:sz w:val="24"/>
                <w:szCs w:val="22"/>
                <w:highlight w:val="none"/>
              </w:rPr>
            </w:pPr>
            <w:r>
              <w:rPr>
                <w:rFonts w:hint="eastAsia"/>
                <w:b/>
                <w:bCs/>
                <w:sz w:val="24"/>
                <w:szCs w:val="22"/>
                <w:highlight w:val="none"/>
              </w:rPr>
              <w:t>条款号</w:t>
            </w:r>
          </w:p>
        </w:tc>
        <w:tc>
          <w:tcPr>
            <w:tcW w:w="1938" w:type="dxa"/>
            <w:tcMar>
              <w:left w:w="57" w:type="dxa"/>
              <w:right w:w="57" w:type="dxa"/>
            </w:tcMar>
            <w:vAlign w:val="center"/>
          </w:tcPr>
          <w:p w14:paraId="0284DC38">
            <w:pPr>
              <w:pStyle w:val="43"/>
              <w:pageBreakBefore w:val="0"/>
              <w:kinsoku/>
              <w:overflowPunct/>
              <w:topLinePunct w:val="0"/>
              <w:bidi w:val="0"/>
              <w:spacing w:before="206"/>
              <w:ind w:left="147" w:right="139"/>
              <w:jc w:val="both"/>
              <w:outlineLvl w:val="9"/>
              <w:rPr>
                <w:b/>
                <w:bCs/>
                <w:sz w:val="24"/>
                <w:szCs w:val="22"/>
                <w:highlight w:val="none"/>
              </w:rPr>
            </w:pPr>
            <w:r>
              <w:rPr>
                <w:rFonts w:hint="eastAsia"/>
                <w:b/>
                <w:bCs/>
                <w:sz w:val="24"/>
                <w:szCs w:val="22"/>
                <w:highlight w:val="none"/>
              </w:rPr>
              <w:t>评审因素</w:t>
            </w:r>
          </w:p>
        </w:tc>
        <w:tc>
          <w:tcPr>
            <w:tcW w:w="5677" w:type="dxa"/>
            <w:tcMar>
              <w:left w:w="57" w:type="dxa"/>
              <w:right w:w="57" w:type="dxa"/>
            </w:tcMar>
            <w:vAlign w:val="center"/>
          </w:tcPr>
          <w:p w14:paraId="0A5FE5F5">
            <w:pPr>
              <w:pStyle w:val="43"/>
              <w:pageBreakBefore w:val="0"/>
              <w:kinsoku/>
              <w:overflowPunct/>
              <w:topLinePunct w:val="0"/>
              <w:bidi w:val="0"/>
              <w:spacing w:before="206"/>
              <w:ind w:left="147" w:right="139"/>
              <w:jc w:val="both"/>
              <w:outlineLvl w:val="9"/>
              <w:rPr>
                <w:b/>
                <w:bCs/>
                <w:sz w:val="24"/>
                <w:szCs w:val="22"/>
                <w:highlight w:val="none"/>
              </w:rPr>
            </w:pPr>
            <w:r>
              <w:rPr>
                <w:rFonts w:hint="eastAsia"/>
                <w:b/>
                <w:bCs/>
                <w:sz w:val="24"/>
                <w:szCs w:val="22"/>
                <w:highlight w:val="none"/>
              </w:rPr>
              <w:t>评审标准</w:t>
            </w:r>
          </w:p>
        </w:tc>
      </w:tr>
      <w:tr w14:paraId="6EF2A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35" w:type="dxa"/>
            <w:vMerge w:val="restart"/>
            <w:tcMar>
              <w:left w:w="57" w:type="dxa"/>
              <w:right w:w="57" w:type="dxa"/>
            </w:tcMar>
            <w:vAlign w:val="center"/>
          </w:tcPr>
          <w:p w14:paraId="2A76F98E">
            <w:pPr>
              <w:pStyle w:val="20"/>
              <w:pageBreakBefore w:val="0"/>
              <w:kinsoku/>
              <w:overflowPunct/>
              <w:topLinePunct w:val="0"/>
              <w:bidi w:val="0"/>
              <w:spacing w:before="0" w:beforeAutospacing="0" w:after="0" w:afterAutospacing="0" w:line="360" w:lineRule="auto"/>
              <w:jc w:val="center"/>
              <w:outlineLvl w:val="9"/>
              <w:rPr>
                <w:rFonts w:hint="default"/>
                <w:highlight w:val="none"/>
              </w:rPr>
            </w:pPr>
            <w:r>
              <w:rPr>
                <w:rFonts w:hint="eastAsia" w:ascii="宋体" w:hAnsi="宋体" w:eastAsia="宋体" w:cs="宋体"/>
                <w:highlight w:val="none"/>
              </w:rPr>
              <w:t>2.1.1</w:t>
            </w:r>
          </w:p>
        </w:tc>
        <w:tc>
          <w:tcPr>
            <w:tcW w:w="1276" w:type="dxa"/>
            <w:vMerge w:val="restart"/>
            <w:tcMar>
              <w:left w:w="57" w:type="dxa"/>
              <w:right w:w="57" w:type="dxa"/>
            </w:tcMar>
            <w:vAlign w:val="center"/>
          </w:tcPr>
          <w:p w14:paraId="028A25E3">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形式评审标准</w:t>
            </w:r>
          </w:p>
        </w:tc>
        <w:tc>
          <w:tcPr>
            <w:tcW w:w="1938" w:type="dxa"/>
            <w:tcMar>
              <w:left w:w="57" w:type="dxa"/>
              <w:right w:w="57" w:type="dxa"/>
            </w:tcMar>
            <w:vAlign w:val="center"/>
          </w:tcPr>
          <w:p w14:paraId="744FCF3E">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名称</w:t>
            </w:r>
          </w:p>
        </w:tc>
        <w:tc>
          <w:tcPr>
            <w:tcW w:w="5677" w:type="dxa"/>
            <w:tcMar>
              <w:left w:w="57" w:type="dxa"/>
              <w:right w:w="57" w:type="dxa"/>
            </w:tcMar>
            <w:vAlign w:val="center"/>
          </w:tcPr>
          <w:p w14:paraId="1A8FD649">
            <w:pPr>
              <w:pageBreakBefore w:val="0"/>
              <w:kinsoku/>
              <w:overflowPunct/>
              <w:topLinePunct w:val="0"/>
              <w:bidi w:val="0"/>
              <w:spacing w:line="360" w:lineRule="auto"/>
              <w:jc w:val="left"/>
              <w:outlineLvl w:val="9"/>
              <w:rPr>
                <w:rFonts w:ascii="宋体" w:hAnsi="宋体" w:cs="宋体"/>
                <w:sz w:val="24"/>
                <w:szCs w:val="24"/>
                <w:highlight w:val="none"/>
              </w:rPr>
            </w:pPr>
            <w:r>
              <w:rPr>
                <w:rFonts w:hint="eastAsia" w:ascii="宋体" w:hAnsi="宋体" w:eastAsia="宋体" w:cs="宋体"/>
                <w:color w:val="000000"/>
                <w:sz w:val="24"/>
                <w:szCs w:val="24"/>
                <w:highlight w:val="none"/>
              </w:rPr>
              <w:t>与营业执照一致。</w:t>
            </w:r>
          </w:p>
        </w:tc>
      </w:tr>
      <w:tr w14:paraId="4C3E6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35" w:type="dxa"/>
            <w:vMerge w:val="continue"/>
            <w:tcMar>
              <w:left w:w="57" w:type="dxa"/>
              <w:right w:w="57" w:type="dxa"/>
            </w:tcMar>
            <w:vAlign w:val="center"/>
          </w:tcPr>
          <w:p w14:paraId="5BF9A508">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7C2C44D0">
            <w:pPr>
              <w:pageBreakBefore w:val="0"/>
              <w:kinsoku/>
              <w:overflowPunct/>
              <w:topLinePunct w:val="0"/>
              <w:bidi w:val="0"/>
              <w:spacing w:line="360" w:lineRule="auto"/>
              <w:jc w:val="center"/>
              <w:outlineLvl w:val="9"/>
              <w:rPr>
                <w:rFonts w:ascii="宋体" w:hAnsi="宋体" w:cs="宋体"/>
                <w:sz w:val="24"/>
                <w:szCs w:val="24"/>
                <w:highlight w:val="none"/>
              </w:rPr>
            </w:pPr>
          </w:p>
        </w:tc>
        <w:tc>
          <w:tcPr>
            <w:tcW w:w="1938" w:type="dxa"/>
            <w:tcMar>
              <w:left w:w="57" w:type="dxa"/>
              <w:right w:w="57" w:type="dxa"/>
            </w:tcMar>
            <w:vAlign w:val="center"/>
          </w:tcPr>
          <w:p w14:paraId="38B8032E">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eastAsia="宋体" w:cs="宋体"/>
                <w:color w:val="000000"/>
                <w:sz w:val="24"/>
                <w:szCs w:val="24"/>
                <w:highlight w:val="none"/>
              </w:rPr>
              <w:t>签字盖章</w:t>
            </w:r>
          </w:p>
        </w:tc>
        <w:tc>
          <w:tcPr>
            <w:tcW w:w="5677" w:type="dxa"/>
            <w:tcMar>
              <w:left w:w="57" w:type="dxa"/>
              <w:right w:w="57" w:type="dxa"/>
            </w:tcMar>
            <w:vAlign w:val="center"/>
          </w:tcPr>
          <w:p w14:paraId="03C982A4">
            <w:pPr>
              <w:pageBreakBefore w:val="0"/>
              <w:kinsoku/>
              <w:overflowPunct/>
              <w:topLinePunct w:val="0"/>
              <w:bidi w:val="0"/>
              <w:spacing w:line="360" w:lineRule="auto"/>
              <w:jc w:val="left"/>
              <w:outlineLvl w:val="9"/>
              <w:rPr>
                <w:rFonts w:ascii="宋体" w:hAnsi="宋体" w:cs="宋体"/>
                <w:sz w:val="24"/>
                <w:szCs w:val="24"/>
                <w:highlight w:val="none"/>
              </w:rPr>
            </w:pPr>
            <w:r>
              <w:rPr>
                <w:rFonts w:hint="eastAsia" w:ascii="宋体" w:hAnsi="宋体" w:eastAsia="宋体" w:cs="宋体"/>
                <w:color w:val="auto"/>
                <w:sz w:val="24"/>
                <w:szCs w:val="24"/>
                <w:highlight w:val="none"/>
                <w:lang w:val="en-US" w:eastAsia="zh-CN" w:bidi="ar"/>
              </w:rPr>
              <w:t>法定代表人电子签章并加章单位公章。</w:t>
            </w:r>
          </w:p>
        </w:tc>
      </w:tr>
      <w:tr w14:paraId="20F64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935" w:type="dxa"/>
            <w:vMerge w:val="continue"/>
            <w:tcMar>
              <w:left w:w="57" w:type="dxa"/>
              <w:right w:w="57" w:type="dxa"/>
            </w:tcMar>
            <w:vAlign w:val="center"/>
          </w:tcPr>
          <w:p w14:paraId="40CFD556">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47416D45">
            <w:pPr>
              <w:pageBreakBefore w:val="0"/>
              <w:kinsoku/>
              <w:overflowPunct/>
              <w:topLinePunct w:val="0"/>
              <w:bidi w:val="0"/>
              <w:spacing w:line="360" w:lineRule="auto"/>
              <w:jc w:val="center"/>
              <w:outlineLvl w:val="9"/>
              <w:rPr>
                <w:rFonts w:ascii="宋体" w:hAnsi="宋体" w:cs="宋体"/>
                <w:sz w:val="24"/>
                <w:szCs w:val="24"/>
                <w:highlight w:val="none"/>
              </w:rPr>
            </w:pPr>
          </w:p>
        </w:tc>
        <w:tc>
          <w:tcPr>
            <w:tcW w:w="1938" w:type="dxa"/>
            <w:tcMar>
              <w:left w:w="57" w:type="dxa"/>
              <w:right w:w="57" w:type="dxa"/>
            </w:tcMar>
            <w:vAlign w:val="center"/>
          </w:tcPr>
          <w:p w14:paraId="008E8A06">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eastAsia="宋体" w:cs="宋体"/>
                <w:color w:val="000000"/>
                <w:sz w:val="24"/>
                <w:szCs w:val="24"/>
                <w:highlight w:val="none"/>
              </w:rPr>
              <w:t>报价唯一</w:t>
            </w:r>
          </w:p>
        </w:tc>
        <w:tc>
          <w:tcPr>
            <w:tcW w:w="5677" w:type="dxa"/>
            <w:tcMar>
              <w:left w:w="57" w:type="dxa"/>
              <w:right w:w="57" w:type="dxa"/>
            </w:tcMar>
            <w:vAlign w:val="center"/>
          </w:tcPr>
          <w:p w14:paraId="5FB02F95">
            <w:pPr>
              <w:pageBreakBefore w:val="0"/>
              <w:kinsoku/>
              <w:overflowPunct/>
              <w:topLinePunct w:val="0"/>
              <w:bidi w:val="0"/>
              <w:spacing w:line="360" w:lineRule="auto"/>
              <w:jc w:val="left"/>
              <w:outlineLvl w:val="9"/>
              <w:rPr>
                <w:rFonts w:ascii="宋体" w:hAnsi="宋体" w:cs="宋体"/>
                <w:sz w:val="24"/>
                <w:szCs w:val="24"/>
                <w:highlight w:val="none"/>
              </w:rPr>
            </w:pPr>
            <w:r>
              <w:rPr>
                <w:rFonts w:hint="eastAsia" w:ascii="宋体" w:hAnsi="宋体" w:eastAsia="宋体" w:cs="宋体"/>
                <w:color w:val="000000"/>
                <w:sz w:val="24"/>
                <w:szCs w:val="24"/>
                <w:highlight w:val="none"/>
              </w:rPr>
              <w:t>只能有一个有效报价。</w:t>
            </w:r>
          </w:p>
        </w:tc>
      </w:tr>
      <w:tr w14:paraId="188C6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 w:type="dxa"/>
            <w:vMerge w:val="restart"/>
            <w:tcMar>
              <w:left w:w="57" w:type="dxa"/>
              <w:right w:w="57" w:type="dxa"/>
            </w:tcMar>
            <w:vAlign w:val="center"/>
          </w:tcPr>
          <w:p w14:paraId="1C6005F3">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2.1.2</w:t>
            </w:r>
          </w:p>
        </w:tc>
        <w:tc>
          <w:tcPr>
            <w:tcW w:w="1276" w:type="dxa"/>
            <w:vMerge w:val="restart"/>
            <w:tcMar>
              <w:left w:w="57" w:type="dxa"/>
              <w:right w:w="57" w:type="dxa"/>
            </w:tcMar>
            <w:vAlign w:val="center"/>
          </w:tcPr>
          <w:p w14:paraId="18D1A328">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资格评审标准</w:t>
            </w:r>
          </w:p>
        </w:tc>
        <w:tc>
          <w:tcPr>
            <w:tcW w:w="1938" w:type="dxa"/>
            <w:tcMar>
              <w:left w:w="57" w:type="dxa"/>
              <w:right w:w="57" w:type="dxa"/>
            </w:tcMar>
            <w:vAlign w:val="center"/>
          </w:tcPr>
          <w:p w14:paraId="361BC2F7">
            <w:pPr>
              <w:pageBreakBefore w:val="0"/>
              <w:kinsoku/>
              <w:overflowPunct/>
              <w:topLinePunct w:val="0"/>
              <w:bidi w:val="0"/>
              <w:spacing w:line="360" w:lineRule="auto"/>
              <w:jc w:val="center"/>
              <w:outlineLvl w:val="9"/>
              <w:rPr>
                <w:rFonts w:hint="default" w:ascii="宋体" w:hAnsi="宋体" w:eastAsia="宋体" w:cs="宋体"/>
                <w:color w:val="000000"/>
                <w:sz w:val="24"/>
                <w:szCs w:val="24"/>
                <w:highlight w:val="none"/>
                <w:lang w:val="en-US"/>
              </w:rPr>
            </w:pPr>
            <w:r>
              <w:rPr>
                <w:rFonts w:hint="eastAsia" w:ascii="宋体" w:hAnsi="宋体" w:eastAsia="宋体" w:cs="宋体"/>
                <w:color w:val="auto"/>
                <w:sz w:val="24"/>
                <w:szCs w:val="28"/>
                <w:highlight w:val="none"/>
                <w:lang w:val="en-US" w:eastAsia="zh-CN"/>
              </w:rPr>
              <w:t>政府采购法第二十二条承诺函</w:t>
            </w:r>
          </w:p>
        </w:tc>
        <w:tc>
          <w:tcPr>
            <w:tcW w:w="5677" w:type="dxa"/>
            <w:vAlign w:val="center"/>
          </w:tcPr>
          <w:p w14:paraId="7EFC0386">
            <w:pPr>
              <w:pageBreakBefore w:val="0"/>
              <w:kinsoku/>
              <w:overflowPunct/>
              <w:topLinePunct w:val="0"/>
              <w:bidi w:val="0"/>
              <w:spacing w:line="360" w:lineRule="auto"/>
              <w:jc w:val="left"/>
              <w:outlineLvl w:val="9"/>
              <w:rPr>
                <w:rFonts w:hint="eastAsia" w:ascii="宋体" w:hAnsi="宋体" w:eastAsia="宋体" w:cs="宋体"/>
                <w:sz w:val="24"/>
                <w:szCs w:val="24"/>
                <w:highlight w:val="none"/>
                <w:lang w:eastAsia="zh-CN"/>
              </w:rPr>
            </w:pPr>
            <w:r>
              <w:rPr>
                <w:rFonts w:hint="eastAsia" w:ascii="宋体" w:hAnsi="宋体" w:eastAsia="宋体" w:cs="宋体"/>
                <w:color w:val="auto"/>
                <w:sz w:val="24"/>
                <w:szCs w:val="28"/>
                <w:highlight w:val="none"/>
                <w:lang w:val="en-US" w:eastAsia="zh-CN"/>
              </w:rPr>
              <w:t>供应商参加本次采购活动必须符合《中华人民共和国政府采购法》第二十二条的规定，需提供相应内容的承诺函。</w:t>
            </w:r>
          </w:p>
        </w:tc>
      </w:tr>
      <w:tr w14:paraId="1B269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35" w:type="dxa"/>
            <w:vMerge w:val="continue"/>
            <w:tcMar>
              <w:left w:w="57" w:type="dxa"/>
              <w:right w:w="57" w:type="dxa"/>
            </w:tcMar>
            <w:vAlign w:val="center"/>
          </w:tcPr>
          <w:p w14:paraId="72C600B2">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01D3676D">
            <w:pPr>
              <w:pageBreakBefore w:val="0"/>
              <w:kinsoku/>
              <w:overflowPunct/>
              <w:topLinePunct w:val="0"/>
              <w:bidi w:val="0"/>
              <w:spacing w:line="360" w:lineRule="auto"/>
              <w:jc w:val="center"/>
              <w:outlineLvl w:val="9"/>
              <w:rPr>
                <w:rFonts w:ascii="宋体" w:hAnsi="宋体" w:cs="宋体"/>
                <w:sz w:val="24"/>
                <w:szCs w:val="24"/>
                <w:highlight w:val="none"/>
              </w:rPr>
            </w:pPr>
          </w:p>
        </w:tc>
        <w:tc>
          <w:tcPr>
            <w:tcW w:w="1938" w:type="dxa"/>
            <w:tcMar>
              <w:left w:w="57" w:type="dxa"/>
              <w:right w:w="57" w:type="dxa"/>
            </w:tcMar>
            <w:vAlign w:val="center"/>
          </w:tcPr>
          <w:p w14:paraId="57EB722E">
            <w:pPr>
              <w:pageBreakBefore w:val="0"/>
              <w:kinsoku/>
              <w:overflowPunct/>
              <w:topLinePunct w:val="0"/>
              <w:bidi w:val="0"/>
              <w:spacing w:line="360" w:lineRule="auto"/>
              <w:jc w:val="center"/>
              <w:outlineLvl w:val="9"/>
              <w:rPr>
                <w:rFonts w:hint="eastAsia" w:ascii="宋体" w:hAnsi="宋体" w:cs="宋体" w:eastAsiaTheme="minorEastAsia"/>
                <w:kern w:val="2"/>
                <w:sz w:val="24"/>
                <w:szCs w:val="24"/>
                <w:highlight w:val="none"/>
                <w:lang w:val="en-US" w:eastAsia="zh-CN" w:bidi="ar-SA"/>
              </w:rPr>
            </w:pPr>
            <w:r>
              <w:rPr>
                <w:rFonts w:hint="eastAsia" w:ascii="宋体" w:hAnsi="宋体" w:eastAsia="宋体" w:cs="宋体"/>
                <w:color w:val="000000"/>
                <w:sz w:val="24"/>
                <w:szCs w:val="24"/>
                <w:highlight w:val="none"/>
              </w:rPr>
              <w:t>营业执照</w:t>
            </w:r>
          </w:p>
        </w:tc>
        <w:tc>
          <w:tcPr>
            <w:tcW w:w="5677" w:type="dxa"/>
            <w:vAlign w:val="center"/>
          </w:tcPr>
          <w:p w14:paraId="6D491741">
            <w:pPr>
              <w:pageBreakBefore w:val="0"/>
              <w:kinsoku/>
              <w:overflowPunct/>
              <w:topLinePunct w:val="0"/>
              <w:bidi w:val="0"/>
              <w:spacing w:line="360" w:lineRule="auto"/>
              <w:jc w:val="left"/>
              <w:outlineLvl w:val="9"/>
              <w:rPr>
                <w:rFonts w:hint="eastAsia" w:ascii="宋体" w:hAnsi="宋体" w:cs="宋体" w:eastAsiaTheme="minorEastAsia"/>
                <w:kern w:val="2"/>
                <w:sz w:val="24"/>
                <w:szCs w:val="24"/>
                <w:highlight w:val="none"/>
                <w:lang w:val="en-US" w:eastAsia="zh-CN" w:bidi="ar-SA"/>
              </w:rPr>
            </w:pPr>
            <w:r>
              <w:rPr>
                <w:rFonts w:hint="eastAsia" w:ascii="宋体" w:hAnsi="宋体" w:eastAsia="宋体" w:cs="宋体"/>
                <w:sz w:val="24"/>
                <w:szCs w:val="24"/>
                <w:highlight w:val="none"/>
                <w:lang w:eastAsia="zh-CN"/>
              </w:rPr>
              <w:t>供应商须具备独立法人资格，具有有效的营业执照</w:t>
            </w:r>
          </w:p>
        </w:tc>
      </w:tr>
      <w:tr w14:paraId="354EC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35" w:type="dxa"/>
            <w:vMerge w:val="continue"/>
            <w:tcMar>
              <w:left w:w="57" w:type="dxa"/>
              <w:right w:w="57" w:type="dxa"/>
            </w:tcMar>
            <w:vAlign w:val="center"/>
          </w:tcPr>
          <w:p w14:paraId="31D49F77">
            <w:pPr>
              <w:pageBreakBefore w:val="0"/>
              <w:kinsoku/>
              <w:overflowPunct/>
              <w:topLinePunct w:val="0"/>
              <w:bidi w:val="0"/>
              <w:spacing w:line="360" w:lineRule="auto"/>
              <w:jc w:val="center"/>
              <w:outlineLvl w:val="9"/>
              <w:rPr>
                <w:rFonts w:hint="eastAsia" w:ascii="宋体" w:hAnsi="宋体" w:cs="宋体"/>
                <w:sz w:val="24"/>
                <w:szCs w:val="24"/>
                <w:highlight w:val="none"/>
              </w:rPr>
            </w:pPr>
          </w:p>
        </w:tc>
        <w:tc>
          <w:tcPr>
            <w:tcW w:w="1276" w:type="dxa"/>
            <w:vMerge w:val="continue"/>
            <w:tcMar>
              <w:left w:w="57" w:type="dxa"/>
              <w:right w:w="57" w:type="dxa"/>
            </w:tcMar>
            <w:vAlign w:val="center"/>
          </w:tcPr>
          <w:p w14:paraId="0BB7585F">
            <w:pPr>
              <w:pageBreakBefore w:val="0"/>
              <w:kinsoku/>
              <w:overflowPunct/>
              <w:topLinePunct w:val="0"/>
              <w:bidi w:val="0"/>
              <w:spacing w:line="360" w:lineRule="auto"/>
              <w:jc w:val="center"/>
              <w:outlineLvl w:val="9"/>
              <w:rPr>
                <w:rFonts w:hint="eastAsia" w:ascii="宋体" w:hAnsi="宋体" w:cs="宋体"/>
                <w:sz w:val="24"/>
                <w:szCs w:val="24"/>
                <w:highlight w:val="none"/>
              </w:rPr>
            </w:pPr>
          </w:p>
        </w:tc>
        <w:tc>
          <w:tcPr>
            <w:tcW w:w="1938" w:type="dxa"/>
            <w:tcMar>
              <w:left w:w="57" w:type="dxa"/>
              <w:right w:w="57" w:type="dxa"/>
            </w:tcMar>
            <w:vAlign w:val="center"/>
          </w:tcPr>
          <w:p w14:paraId="39AF8CC1">
            <w:pPr>
              <w:pageBreakBefore w:val="0"/>
              <w:kinsoku/>
              <w:overflowPunct/>
              <w:topLinePunct w:val="0"/>
              <w:bidi w:val="0"/>
              <w:spacing w:line="360" w:lineRule="auto"/>
              <w:jc w:val="center"/>
              <w:outlineLvl w:val="9"/>
              <w:rPr>
                <w:rFonts w:hint="eastAsia" w:ascii="宋体" w:hAnsi="宋体" w:cs="宋体"/>
                <w:kern w:val="2"/>
                <w:sz w:val="24"/>
                <w:szCs w:val="24"/>
                <w:highlight w:val="none"/>
                <w:lang w:val="en-US" w:eastAsia="zh-CN" w:bidi="ar-SA"/>
              </w:rPr>
            </w:pPr>
            <w:r>
              <w:rPr>
                <w:rFonts w:hint="eastAsia" w:ascii="宋体" w:hAnsi="宋体" w:eastAsia="宋体" w:cs="宋体"/>
                <w:sz w:val="24"/>
                <w:szCs w:val="24"/>
                <w:highlight w:val="none"/>
                <w:lang w:eastAsia="zh-CN"/>
              </w:rPr>
              <w:t>无商业贿赂及无不正当竞争行为的承诺书</w:t>
            </w:r>
          </w:p>
        </w:tc>
        <w:tc>
          <w:tcPr>
            <w:tcW w:w="5677" w:type="dxa"/>
            <w:vAlign w:val="center"/>
          </w:tcPr>
          <w:p w14:paraId="7E33D644">
            <w:pPr>
              <w:pageBreakBefore w:val="0"/>
              <w:kinsoku/>
              <w:overflowPunct/>
              <w:topLinePunct w:val="0"/>
              <w:bidi w:val="0"/>
              <w:spacing w:line="360" w:lineRule="auto"/>
              <w:jc w:val="left"/>
              <w:outlineLvl w:val="9"/>
              <w:rPr>
                <w:rFonts w:hint="eastAsia" w:ascii="宋体" w:hAnsi="宋体" w:eastAsia="宋体" w:cs="宋体"/>
                <w:color w:val="auto"/>
                <w:sz w:val="24"/>
                <w:highlight w:val="none"/>
              </w:rPr>
            </w:pPr>
            <w:r>
              <w:rPr>
                <w:rFonts w:hint="eastAsia" w:ascii="宋体" w:hAnsi="宋体" w:eastAsia="宋体" w:cs="宋体"/>
                <w:sz w:val="24"/>
                <w:szCs w:val="24"/>
                <w:highlight w:val="none"/>
                <w:lang w:eastAsia="zh-CN"/>
              </w:rPr>
              <w:t>供应商须自行出具本单位无商业贿赂及无不正当竞争行为的承诺书</w:t>
            </w:r>
            <w:r>
              <w:rPr>
                <w:rFonts w:hint="eastAsia"/>
                <w:sz w:val="24"/>
                <w:szCs w:val="24"/>
                <w:highlight w:val="none"/>
                <w:lang w:val="en-US" w:eastAsia="zh-CN"/>
              </w:rPr>
              <w:t>（承诺书格式自拟）</w:t>
            </w:r>
          </w:p>
        </w:tc>
      </w:tr>
      <w:tr w14:paraId="26261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35" w:type="dxa"/>
            <w:vMerge w:val="continue"/>
            <w:tcMar>
              <w:left w:w="57" w:type="dxa"/>
              <w:right w:w="57" w:type="dxa"/>
            </w:tcMar>
            <w:vAlign w:val="center"/>
          </w:tcPr>
          <w:p w14:paraId="1BF0B11B">
            <w:pPr>
              <w:pageBreakBefore w:val="0"/>
              <w:kinsoku/>
              <w:overflowPunct/>
              <w:topLinePunct w:val="0"/>
              <w:bidi w:val="0"/>
              <w:spacing w:line="360" w:lineRule="auto"/>
              <w:jc w:val="center"/>
              <w:outlineLvl w:val="9"/>
              <w:rPr>
                <w:rFonts w:hint="eastAsia" w:ascii="宋体" w:hAnsi="宋体" w:cs="宋体"/>
                <w:sz w:val="24"/>
                <w:szCs w:val="24"/>
                <w:highlight w:val="none"/>
              </w:rPr>
            </w:pPr>
          </w:p>
        </w:tc>
        <w:tc>
          <w:tcPr>
            <w:tcW w:w="1276" w:type="dxa"/>
            <w:vMerge w:val="continue"/>
            <w:tcMar>
              <w:left w:w="57" w:type="dxa"/>
              <w:right w:w="57" w:type="dxa"/>
            </w:tcMar>
            <w:vAlign w:val="center"/>
          </w:tcPr>
          <w:p w14:paraId="7143C503">
            <w:pPr>
              <w:pageBreakBefore w:val="0"/>
              <w:kinsoku/>
              <w:overflowPunct/>
              <w:topLinePunct w:val="0"/>
              <w:bidi w:val="0"/>
              <w:spacing w:line="360" w:lineRule="auto"/>
              <w:jc w:val="center"/>
              <w:outlineLvl w:val="9"/>
              <w:rPr>
                <w:rFonts w:hint="eastAsia" w:ascii="宋体" w:hAnsi="宋体" w:cs="宋体"/>
                <w:sz w:val="24"/>
                <w:szCs w:val="24"/>
                <w:highlight w:val="none"/>
              </w:rPr>
            </w:pPr>
          </w:p>
        </w:tc>
        <w:tc>
          <w:tcPr>
            <w:tcW w:w="1938" w:type="dxa"/>
            <w:tcMar>
              <w:left w:w="57" w:type="dxa"/>
              <w:right w:w="57" w:type="dxa"/>
            </w:tcMar>
            <w:vAlign w:val="center"/>
          </w:tcPr>
          <w:p w14:paraId="70B0C423">
            <w:pPr>
              <w:pageBreakBefore w:val="0"/>
              <w:kinsoku/>
              <w:overflowPunct/>
              <w:topLinePunct w:val="0"/>
              <w:bidi w:val="0"/>
              <w:spacing w:line="360" w:lineRule="auto"/>
              <w:jc w:val="center"/>
              <w:outlineLvl w:val="9"/>
              <w:rPr>
                <w:rFonts w:hint="default" w:ascii="宋体" w:hAnsi="宋体" w:cs="宋体" w:eastAsiaTheme="minorEastAsia"/>
                <w:kern w:val="2"/>
                <w:sz w:val="24"/>
                <w:szCs w:val="24"/>
                <w:highlight w:val="none"/>
                <w:lang w:val="en-US" w:eastAsia="zh-CN" w:bidi="ar-SA"/>
              </w:rPr>
            </w:pPr>
            <w:r>
              <w:rPr>
                <w:rFonts w:hint="eastAsia" w:ascii="宋体" w:hAnsi="宋体" w:cs="宋体"/>
                <w:kern w:val="2"/>
                <w:sz w:val="24"/>
                <w:szCs w:val="24"/>
                <w:highlight w:val="none"/>
                <w:lang w:val="en-US" w:eastAsia="zh-CN" w:bidi="ar-SA"/>
              </w:rPr>
              <w:t>信用查询</w:t>
            </w:r>
          </w:p>
        </w:tc>
        <w:tc>
          <w:tcPr>
            <w:tcW w:w="5677" w:type="dxa"/>
            <w:vAlign w:val="center"/>
          </w:tcPr>
          <w:p w14:paraId="32A86928">
            <w:pPr>
              <w:keepNext w:val="0"/>
              <w:keepLines w:val="0"/>
              <w:pageBreakBefore w:val="0"/>
              <w:widowControl/>
              <w:shd w:val="clear" w:color="auto" w:fill="auto"/>
              <w:kinsoku/>
              <w:wordWrap w:val="0"/>
              <w:overflowPunct/>
              <w:topLinePunct w:val="0"/>
              <w:autoSpaceDE/>
              <w:autoSpaceDN/>
              <w:bidi w:val="0"/>
              <w:adjustRightInd/>
              <w:snapToGrid/>
              <w:spacing w:line="360" w:lineRule="auto"/>
              <w:ind w:firstLine="480" w:firstLineChars="200"/>
              <w:textAlignment w:val="auto"/>
              <w:rPr>
                <w:rFonts w:hint="eastAsia" w:ascii="宋体" w:hAnsi="宋体" w:cs="宋体" w:eastAsiaTheme="minorEastAsia"/>
                <w:kern w:val="2"/>
                <w:sz w:val="24"/>
                <w:szCs w:val="24"/>
                <w:highlight w:val="none"/>
                <w:lang w:val="en-US" w:eastAsia="zh-CN" w:bidi="ar-SA"/>
              </w:rPr>
            </w:pPr>
            <w:r>
              <w:rPr>
                <w:rFonts w:hint="eastAsia" w:ascii="宋体" w:hAnsi="宋体" w:eastAsia="宋体" w:cs="宋体"/>
                <w:sz w:val="24"/>
                <w:szCs w:val="24"/>
                <w:highlight w:val="none"/>
                <w:lang w:val="en-US" w:eastAsia="zh-CN"/>
              </w:rPr>
              <w:t>根据</w:t>
            </w:r>
            <w:r>
              <w:rPr>
                <w:rFonts w:hint="eastAsia" w:ascii="宋体" w:hAnsi="宋体" w:eastAsia="宋体" w:cs="宋体"/>
                <w:sz w:val="24"/>
                <w:highlight w:val="none"/>
                <w:lang w:val="en-US" w:eastAsia="zh-CN"/>
              </w:rPr>
              <w:t>《关于在政府采购活动中查询及使用信用记录有关问题的通知》(财库[2016]125号)和豫财购【2016】15号的规定，对列入失信被执行人、重大税收违法失信主体、政府采购严重违法失信行为记录名单的</w:t>
            </w:r>
            <w:r>
              <w:rPr>
                <w:rFonts w:hint="eastAsia" w:ascii="宋体" w:hAnsi="宋体" w:cs="宋体"/>
                <w:sz w:val="24"/>
                <w:highlight w:val="none"/>
                <w:lang w:val="en-US" w:eastAsia="zh-CN"/>
              </w:rPr>
              <w:t>供应商</w:t>
            </w:r>
            <w:r>
              <w:rPr>
                <w:rFonts w:hint="eastAsia" w:ascii="宋体" w:hAnsi="宋体" w:eastAsia="宋体" w:cs="宋体"/>
                <w:sz w:val="24"/>
                <w:highlight w:val="none"/>
                <w:lang w:val="en-US" w:eastAsia="zh-CN"/>
              </w:rPr>
              <w:t>，拒绝参与本项目采购活动；查询渠道：①中国执行信息公开网（http://zxgk.court.gov.cn）查询内容：失信被执行人；②“信用中国”网站（www.creditchina.gov.cn），查询内容：重大税收违法失信主体；③中国政府采购网（www.ccgp.gov.cn）查询内容：政府采购严重违法失信行为记录名单。供应商须提供中国执行信息公开网查询页、信用中国查询页、中国政府采购网查询页的查询结果截图，</w:t>
            </w:r>
            <w:r>
              <w:rPr>
                <w:rFonts w:hint="eastAsia" w:ascii="宋体" w:hAnsi="宋体" w:eastAsia="宋体" w:cs="宋体"/>
                <w:b/>
                <w:bCs/>
                <w:sz w:val="24"/>
                <w:highlight w:val="none"/>
                <w:lang w:val="en-US" w:eastAsia="zh-CN"/>
              </w:rPr>
              <w:t>查询日期为本公告发布之日起，网站截图应含有日期且显示查询结果</w:t>
            </w:r>
            <w:r>
              <w:rPr>
                <w:rFonts w:hint="eastAsia" w:ascii="宋体" w:hAnsi="宋体" w:eastAsia="宋体" w:cs="宋体"/>
                <w:b/>
                <w:bCs/>
                <w:color w:val="auto"/>
                <w:sz w:val="24"/>
                <w:highlight w:val="none"/>
                <w:lang w:val="en-US" w:eastAsia="zh-CN"/>
              </w:rPr>
              <w:t>；</w:t>
            </w:r>
          </w:p>
        </w:tc>
      </w:tr>
      <w:tr w14:paraId="055F9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935" w:type="dxa"/>
            <w:vMerge w:val="continue"/>
            <w:tcMar>
              <w:left w:w="57" w:type="dxa"/>
              <w:right w:w="57" w:type="dxa"/>
            </w:tcMar>
            <w:vAlign w:val="center"/>
          </w:tcPr>
          <w:p w14:paraId="0A7005D8">
            <w:pPr>
              <w:pageBreakBefore w:val="0"/>
              <w:kinsoku/>
              <w:overflowPunct/>
              <w:topLinePunct w:val="0"/>
              <w:bidi w:val="0"/>
              <w:spacing w:line="360" w:lineRule="auto"/>
              <w:outlineLvl w:val="9"/>
              <w:rPr>
                <w:rFonts w:ascii="宋体" w:hAnsi="宋体" w:cs="宋体"/>
                <w:sz w:val="24"/>
                <w:szCs w:val="24"/>
                <w:highlight w:val="none"/>
              </w:rPr>
            </w:pPr>
          </w:p>
        </w:tc>
        <w:tc>
          <w:tcPr>
            <w:tcW w:w="1276" w:type="dxa"/>
            <w:vMerge w:val="continue"/>
            <w:tcMar>
              <w:left w:w="57" w:type="dxa"/>
              <w:right w:w="57" w:type="dxa"/>
            </w:tcMar>
            <w:vAlign w:val="center"/>
          </w:tcPr>
          <w:p w14:paraId="19920A99">
            <w:pPr>
              <w:pageBreakBefore w:val="0"/>
              <w:kinsoku/>
              <w:overflowPunct/>
              <w:topLinePunct w:val="0"/>
              <w:bidi w:val="0"/>
              <w:spacing w:line="360" w:lineRule="auto"/>
              <w:jc w:val="center"/>
              <w:outlineLvl w:val="9"/>
              <w:rPr>
                <w:rFonts w:ascii="宋体" w:hAnsi="宋体" w:cs="宋体"/>
                <w:sz w:val="24"/>
                <w:szCs w:val="24"/>
                <w:highlight w:val="none"/>
              </w:rPr>
            </w:pPr>
          </w:p>
        </w:tc>
        <w:tc>
          <w:tcPr>
            <w:tcW w:w="1938" w:type="dxa"/>
            <w:tcMar>
              <w:left w:w="57" w:type="dxa"/>
              <w:right w:w="57" w:type="dxa"/>
            </w:tcMar>
            <w:vAlign w:val="center"/>
          </w:tcPr>
          <w:p w14:paraId="67778048">
            <w:pPr>
              <w:pageBreakBefore w:val="0"/>
              <w:kinsoku/>
              <w:overflowPunct/>
              <w:topLinePunct w:val="0"/>
              <w:bidi w:val="0"/>
              <w:spacing w:line="360" w:lineRule="auto"/>
              <w:jc w:val="center"/>
              <w:outlineLvl w:val="9"/>
              <w:rPr>
                <w:rFonts w:hint="eastAsia" w:ascii="宋体" w:hAnsi="宋体" w:cs="宋体" w:eastAsiaTheme="minorEastAsia"/>
                <w:kern w:val="2"/>
                <w:sz w:val="24"/>
                <w:szCs w:val="24"/>
                <w:highlight w:val="none"/>
                <w:lang w:val="en-US" w:eastAsia="zh-CN" w:bidi="ar-SA"/>
              </w:rPr>
            </w:pPr>
            <w:r>
              <w:rPr>
                <w:rFonts w:hint="eastAsia" w:ascii="宋体" w:hAnsi="宋体" w:cs="宋体"/>
                <w:sz w:val="24"/>
                <w:highlight w:val="none"/>
              </w:rPr>
              <w:t>国家企业信用信息公示系统</w:t>
            </w:r>
            <w:r>
              <w:rPr>
                <w:rFonts w:hint="eastAsia" w:ascii="宋体" w:hAnsi="宋体" w:cs="宋体"/>
                <w:sz w:val="24"/>
                <w:highlight w:val="none"/>
                <w:lang w:eastAsia="zh-CN"/>
              </w:rPr>
              <w:t>查询</w:t>
            </w:r>
          </w:p>
        </w:tc>
        <w:tc>
          <w:tcPr>
            <w:tcW w:w="5677" w:type="dxa"/>
            <w:vAlign w:val="center"/>
          </w:tcPr>
          <w:p w14:paraId="13A4F0D2">
            <w:pPr>
              <w:pageBreakBefore w:val="0"/>
              <w:kinsoku/>
              <w:overflowPunct/>
              <w:topLinePunct w:val="0"/>
              <w:bidi w:val="0"/>
              <w:spacing w:line="360" w:lineRule="auto"/>
              <w:jc w:val="left"/>
              <w:outlineLvl w:val="9"/>
              <w:rPr>
                <w:rFonts w:ascii="宋体" w:hAnsi="宋体" w:cs="宋体" w:eastAsiaTheme="minorEastAsia"/>
                <w:kern w:val="2"/>
                <w:sz w:val="24"/>
                <w:szCs w:val="24"/>
                <w:highlight w:val="none"/>
                <w:lang w:val="en-US" w:eastAsia="zh-CN" w:bidi="ar-SA"/>
              </w:rPr>
            </w:pPr>
            <w:r>
              <w:rPr>
                <w:rFonts w:hint="eastAsia" w:ascii="宋体" w:hAnsi="宋体" w:eastAsia="宋体" w:cs="宋体"/>
                <w:kern w:val="2"/>
                <w:sz w:val="24"/>
                <w:szCs w:val="22"/>
                <w:highlight w:val="none"/>
                <w:lang w:val="en-US" w:eastAsia="zh-CN" w:bidi="ar-SA"/>
              </w:rPr>
              <w:t>单位负责人为同一人或者存在直接控股、管理关系的不同供应商，不得同时参加本次采购活动，须提供国家企业信用信息公示系统（网址http://www.gsxt.gov.cn/）公示的企业信息网页截图，至少应包含股东信息，查询日期为本公告发布之日起，网站截图应含有日期且显示查询结果</w:t>
            </w:r>
          </w:p>
        </w:tc>
      </w:tr>
      <w:tr w14:paraId="3A621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935" w:type="dxa"/>
            <w:vMerge w:val="continue"/>
            <w:tcMar>
              <w:left w:w="57" w:type="dxa"/>
              <w:right w:w="57" w:type="dxa"/>
            </w:tcMar>
            <w:vAlign w:val="center"/>
          </w:tcPr>
          <w:p w14:paraId="5B40162B">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7D91BDB4">
            <w:pPr>
              <w:pageBreakBefore w:val="0"/>
              <w:kinsoku/>
              <w:overflowPunct/>
              <w:topLinePunct w:val="0"/>
              <w:bidi w:val="0"/>
              <w:spacing w:line="360" w:lineRule="auto"/>
              <w:jc w:val="center"/>
              <w:outlineLvl w:val="9"/>
              <w:rPr>
                <w:rFonts w:ascii="宋体" w:hAnsi="宋体" w:cs="宋体"/>
                <w:sz w:val="24"/>
                <w:szCs w:val="24"/>
                <w:highlight w:val="none"/>
              </w:rPr>
            </w:pPr>
          </w:p>
        </w:tc>
        <w:tc>
          <w:tcPr>
            <w:tcW w:w="1938" w:type="dxa"/>
            <w:tcMar>
              <w:left w:w="57" w:type="dxa"/>
              <w:right w:w="57" w:type="dxa"/>
            </w:tcMar>
            <w:vAlign w:val="center"/>
          </w:tcPr>
          <w:p w14:paraId="5F2F933A">
            <w:pPr>
              <w:pageBreakBefore w:val="0"/>
              <w:kinsoku/>
              <w:overflowPunct/>
              <w:topLinePunct w:val="0"/>
              <w:bidi w:val="0"/>
              <w:spacing w:line="360" w:lineRule="auto"/>
              <w:jc w:val="center"/>
              <w:outlineLvl w:val="9"/>
              <w:rPr>
                <w:rFonts w:hint="default" w:ascii="宋体" w:hAnsi="宋体" w:cs="宋体"/>
                <w:sz w:val="24"/>
                <w:szCs w:val="24"/>
                <w:highlight w:val="none"/>
                <w:lang w:val="en-US"/>
              </w:rPr>
            </w:pPr>
            <w:r>
              <w:rPr>
                <w:rFonts w:hint="eastAsia"/>
                <w:sz w:val="24"/>
                <w:szCs w:val="24"/>
                <w:highlight w:val="none"/>
                <w:lang w:val="en-US" w:eastAsia="zh-CN"/>
              </w:rPr>
              <w:t>非联合体磋商承诺</w:t>
            </w:r>
          </w:p>
        </w:tc>
        <w:tc>
          <w:tcPr>
            <w:tcW w:w="5677" w:type="dxa"/>
            <w:vAlign w:val="center"/>
          </w:tcPr>
          <w:p w14:paraId="78A22675">
            <w:pPr>
              <w:pageBreakBefore w:val="0"/>
              <w:kinsoku/>
              <w:overflowPunct/>
              <w:topLinePunct w:val="0"/>
              <w:bidi w:val="0"/>
              <w:spacing w:line="360" w:lineRule="auto"/>
              <w:jc w:val="left"/>
              <w:outlineLvl w:val="9"/>
              <w:rPr>
                <w:rFonts w:ascii="宋体" w:hAnsi="宋体" w:cs="宋体"/>
                <w:sz w:val="24"/>
                <w:szCs w:val="24"/>
                <w:highlight w:val="none"/>
              </w:rPr>
            </w:pPr>
            <w:r>
              <w:rPr>
                <w:rFonts w:hint="eastAsia" w:ascii="宋体" w:hAnsi="宋体" w:eastAsia="宋体" w:cs="宋体"/>
                <w:sz w:val="24"/>
                <w:szCs w:val="24"/>
                <w:highlight w:val="none"/>
              </w:rPr>
              <w:t>本项目不接受联合体磋商</w:t>
            </w:r>
            <w:r>
              <w:rPr>
                <w:rFonts w:hint="eastAsia" w:ascii="宋体" w:hAnsi="宋体" w:eastAsia="宋体" w:cs="宋体"/>
                <w:sz w:val="24"/>
                <w:szCs w:val="24"/>
                <w:highlight w:val="none"/>
                <w:lang w:eastAsia="zh-CN"/>
              </w:rPr>
              <w:t>，</w:t>
            </w:r>
            <w:r>
              <w:rPr>
                <w:rFonts w:hint="eastAsia"/>
                <w:sz w:val="24"/>
                <w:szCs w:val="24"/>
                <w:highlight w:val="none"/>
                <w:lang w:val="en-US" w:eastAsia="zh-CN"/>
              </w:rPr>
              <w:t>供应商须提供非联合体承诺书（承诺书格式自拟）</w:t>
            </w:r>
          </w:p>
        </w:tc>
      </w:tr>
      <w:tr w14:paraId="0E64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935" w:type="dxa"/>
            <w:vMerge w:val="restart"/>
            <w:tcMar>
              <w:left w:w="57" w:type="dxa"/>
              <w:right w:w="57" w:type="dxa"/>
            </w:tcMar>
            <w:vAlign w:val="center"/>
          </w:tcPr>
          <w:p w14:paraId="30169E3F">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2.1.3</w:t>
            </w:r>
          </w:p>
        </w:tc>
        <w:tc>
          <w:tcPr>
            <w:tcW w:w="1276" w:type="dxa"/>
            <w:vMerge w:val="restart"/>
            <w:tcMar>
              <w:left w:w="57" w:type="dxa"/>
              <w:right w:w="57" w:type="dxa"/>
            </w:tcMar>
            <w:vAlign w:val="center"/>
          </w:tcPr>
          <w:p w14:paraId="53B8DE40">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响应性评审标准</w:t>
            </w:r>
          </w:p>
        </w:tc>
        <w:tc>
          <w:tcPr>
            <w:tcW w:w="1938" w:type="dxa"/>
            <w:tcMar>
              <w:left w:w="57" w:type="dxa"/>
              <w:right w:w="57" w:type="dxa"/>
            </w:tcMar>
            <w:vAlign w:val="center"/>
          </w:tcPr>
          <w:p w14:paraId="181D2C78">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eastAsia="宋体" w:cs="宋体"/>
                <w:color w:val="000000"/>
                <w:sz w:val="24"/>
                <w:szCs w:val="24"/>
                <w:highlight w:val="none"/>
                <w:lang w:eastAsia="zh-CN"/>
              </w:rPr>
              <w:t>磋商范围</w:t>
            </w:r>
          </w:p>
        </w:tc>
        <w:tc>
          <w:tcPr>
            <w:tcW w:w="5677" w:type="dxa"/>
            <w:vAlign w:val="center"/>
          </w:tcPr>
          <w:p w14:paraId="5265EF4D">
            <w:pPr>
              <w:pageBreakBefore w:val="0"/>
              <w:kinsoku/>
              <w:overflowPunct/>
              <w:topLinePunct w:val="0"/>
              <w:bidi w:val="0"/>
              <w:spacing w:line="360" w:lineRule="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color w:val="000000"/>
                <w:sz w:val="24"/>
                <w:szCs w:val="24"/>
                <w:highlight w:val="none"/>
                <w:lang w:val="en-US" w:eastAsia="zh-CN"/>
              </w:rPr>
              <w:t>按照招标公告要求响应</w:t>
            </w:r>
          </w:p>
        </w:tc>
      </w:tr>
      <w:tr w14:paraId="456F4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35" w:type="dxa"/>
            <w:vMerge w:val="continue"/>
            <w:tcMar>
              <w:left w:w="57" w:type="dxa"/>
              <w:right w:w="57" w:type="dxa"/>
            </w:tcMar>
            <w:vAlign w:val="center"/>
          </w:tcPr>
          <w:p w14:paraId="29702C5B">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5FE44CD1">
            <w:pPr>
              <w:pageBreakBefore w:val="0"/>
              <w:kinsoku/>
              <w:overflowPunct/>
              <w:topLinePunct w:val="0"/>
              <w:bidi w:val="0"/>
              <w:spacing w:line="360" w:lineRule="auto"/>
              <w:jc w:val="center"/>
              <w:outlineLvl w:val="9"/>
              <w:rPr>
                <w:rFonts w:ascii="宋体" w:hAnsi="宋体" w:cs="宋体"/>
                <w:sz w:val="24"/>
                <w:szCs w:val="24"/>
                <w:highlight w:val="none"/>
              </w:rPr>
            </w:pPr>
          </w:p>
        </w:tc>
        <w:tc>
          <w:tcPr>
            <w:tcW w:w="1938" w:type="dxa"/>
            <w:tcMar>
              <w:left w:w="57" w:type="dxa"/>
              <w:right w:w="57" w:type="dxa"/>
            </w:tcMar>
            <w:vAlign w:val="center"/>
          </w:tcPr>
          <w:p w14:paraId="65DF4F14">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eastAsia="宋体" w:cs="宋体"/>
                <w:color w:val="000000"/>
                <w:sz w:val="24"/>
                <w:szCs w:val="24"/>
                <w:highlight w:val="none"/>
                <w:lang w:val="en-US" w:eastAsia="zh-CN"/>
              </w:rPr>
              <w:t>供货</w:t>
            </w:r>
            <w:r>
              <w:rPr>
                <w:rFonts w:hint="eastAsia" w:ascii="宋体" w:hAnsi="宋体" w:eastAsia="宋体" w:cs="宋体"/>
                <w:color w:val="000000"/>
                <w:sz w:val="24"/>
                <w:szCs w:val="24"/>
                <w:highlight w:val="none"/>
              </w:rPr>
              <w:t>期</w:t>
            </w:r>
          </w:p>
        </w:tc>
        <w:tc>
          <w:tcPr>
            <w:tcW w:w="5677" w:type="dxa"/>
            <w:vAlign w:val="center"/>
          </w:tcPr>
          <w:p w14:paraId="7ABA1E0F">
            <w:pPr>
              <w:pageBreakBefore w:val="0"/>
              <w:kinsoku/>
              <w:overflowPunct/>
              <w:topLinePunct w:val="0"/>
              <w:bidi w:val="0"/>
              <w:spacing w:line="360" w:lineRule="auto"/>
              <w:outlineLvl w:val="9"/>
              <w:rPr>
                <w:rFonts w:hint="default" w:ascii="宋体" w:hAnsi="宋体" w:cs="宋体"/>
                <w:sz w:val="24"/>
                <w:szCs w:val="24"/>
                <w:highlight w:val="none"/>
                <w:lang w:val="en-US"/>
              </w:rPr>
            </w:pPr>
            <w:r>
              <w:rPr>
                <w:rFonts w:hint="eastAsia" w:ascii="宋体" w:hAnsi="宋体" w:eastAsia="宋体" w:cs="宋体"/>
                <w:color w:val="000000"/>
                <w:sz w:val="24"/>
                <w:szCs w:val="24"/>
                <w:highlight w:val="none"/>
                <w:lang w:val="en-US" w:eastAsia="zh-CN"/>
              </w:rPr>
              <w:t xml:space="preserve"> 按照招标公告要求响应</w:t>
            </w:r>
          </w:p>
        </w:tc>
      </w:tr>
      <w:tr w14:paraId="630FA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935" w:type="dxa"/>
            <w:vMerge w:val="continue"/>
            <w:tcMar>
              <w:left w:w="57" w:type="dxa"/>
              <w:right w:w="57" w:type="dxa"/>
            </w:tcMar>
            <w:vAlign w:val="center"/>
          </w:tcPr>
          <w:p w14:paraId="319D0CBE">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00F74D64">
            <w:pPr>
              <w:pageBreakBefore w:val="0"/>
              <w:kinsoku/>
              <w:overflowPunct/>
              <w:topLinePunct w:val="0"/>
              <w:bidi w:val="0"/>
              <w:spacing w:line="360" w:lineRule="auto"/>
              <w:jc w:val="center"/>
              <w:outlineLvl w:val="9"/>
              <w:rPr>
                <w:rFonts w:ascii="宋体" w:hAnsi="宋体" w:cs="宋体"/>
                <w:sz w:val="24"/>
                <w:szCs w:val="24"/>
                <w:highlight w:val="none"/>
              </w:rPr>
            </w:pPr>
          </w:p>
        </w:tc>
        <w:tc>
          <w:tcPr>
            <w:tcW w:w="1938" w:type="dxa"/>
            <w:tcMar>
              <w:left w:w="57" w:type="dxa"/>
              <w:right w:w="57" w:type="dxa"/>
            </w:tcMar>
            <w:vAlign w:val="center"/>
          </w:tcPr>
          <w:p w14:paraId="5E617F73">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eastAsia="宋体" w:cs="宋体"/>
                <w:color w:val="000000"/>
                <w:sz w:val="24"/>
                <w:szCs w:val="24"/>
                <w:highlight w:val="none"/>
              </w:rPr>
              <w:t>质量要求</w:t>
            </w:r>
          </w:p>
        </w:tc>
        <w:tc>
          <w:tcPr>
            <w:tcW w:w="5677" w:type="dxa"/>
            <w:vAlign w:val="center"/>
          </w:tcPr>
          <w:p w14:paraId="61EE2BBB">
            <w:pPr>
              <w:pageBreakBefore w:val="0"/>
              <w:kinsoku/>
              <w:overflowPunct/>
              <w:topLinePunct w:val="0"/>
              <w:bidi w:val="0"/>
              <w:spacing w:line="360" w:lineRule="auto"/>
              <w:outlineLvl w:val="9"/>
              <w:rPr>
                <w:rFonts w:ascii="宋体" w:hAnsi="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olor w:val="auto"/>
                <w:sz w:val="24"/>
                <w:szCs w:val="24"/>
                <w:highlight w:val="none"/>
                <w:lang w:val="en-US" w:eastAsia="zh-CN"/>
              </w:rPr>
              <w:t>合格，符合国家有关行业标准和相关法律法规规定</w:t>
            </w:r>
          </w:p>
        </w:tc>
      </w:tr>
      <w:tr w14:paraId="608D0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935" w:type="dxa"/>
            <w:vMerge w:val="continue"/>
            <w:tcMar>
              <w:left w:w="57" w:type="dxa"/>
              <w:right w:w="57" w:type="dxa"/>
            </w:tcMar>
            <w:vAlign w:val="center"/>
          </w:tcPr>
          <w:p w14:paraId="15FF26B0">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2782A72F">
            <w:pPr>
              <w:pageBreakBefore w:val="0"/>
              <w:kinsoku/>
              <w:overflowPunct/>
              <w:topLinePunct w:val="0"/>
              <w:bidi w:val="0"/>
              <w:spacing w:line="360" w:lineRule="auto"/>
              <w:jc w:val="center"/>
              <w:outlineLvl w:val="9"/>
              <w:rPr>
                <w:rFonts w:ascii="宋体" w:hAnsi="宋体" w:cs="宋体"/>
                <w:sz w:val="24"/>
                <w:szCs w:val="24"/>
                <w:highlight w:val="none"/>
              </w:rPr>
            </w:pPr>
          </w:p>
        </w:tc>
        <w:tc>
          <w:tcPr>
            <w:tcW w:w="1938" w:type="dxa"/>
            <w:tcMar>
              <w:left w:w="57" w:type="dxa"/>
              <w:right w:w="57" w:type="dxa"/>
            </w:tcMar>
            <w:vAlign w:val="center"/>
          </w:tcPr>
          <w:p w14:paraId="50587B8C">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eastAsia="宋体" w:cs="宋体"/>
                <w:color w:val="000000"/>
                <w:sz w:val="24"/>
                <w:szCs w:val="24"/>
                <w:highlight w:val="none"/>
              </w:rPr>
              <w:t>磋商有效期</w:t>
            </w:r>
          </w:p>
        </w:tc>
        <w:tc>
          <w:tcPr>
            <w:tcW w:w="5677" w:type="dxa"/>
            <w:vAlign w:val="center"/>
          </w:tcPr>
          <w:p w14:paraId="3FE36FEA">
            <w:pPr>
              <w:pageBreakBefore w:val="0"/>
              <w:kinsoku/>
              <w:overflowPunct/>
              <w:topLinePunct w:val="0"/>
              <w:bidi w:val="0"/>
              <w:spacing w:line="360" w:lineRule="auto"/>
              <w:outlineLvl w:val="9"/>
              <w:rPr>
                <w:rFonts w:ascii="宋体" w:hAnsi="宋体" w:cs="宋体"/>
                <w:sz w:val="24"/>
                <w:szCs w:val="24"/>
                <w:highlight w:val="none"/>
              </w:rPr>
            </w:pPr>
            <w:r>
              <w:rPr>
                <w:rFonts w:hint="eastAsia" w:ascii="宋体" w:hAnsi="宋体" w:cs="宋体"/>
                <w:kern w:val="10"/>
                <w:sz w:val="24"/>
                <w:szCs w:val="24"/>
                <w:highlight w:val="none"/>
              </w:rPr>
              <w:t>提交响应文件截止时间后60日历天，有效期短于该期限的</w:t>
            </w:r>
            <w:r>
              <w:rPr>
                <w:rFonts w:hint="eastAsia" w:ascii="宋体" w:hAnsi="宋体" w:cs="宋体"/>
                <w:spacing w:val="-11"/>
                <w:sz w:val="24"/>
                <w:szCs w:val="24"/>
                <w:highlight w:val="none"/>
              </w:rPr>
              <w:t>响应文件</w:t>
            </w:r>
            <w:r>
              <w:rPr>
                <w:rFonts w:hint="eastAsia" w:ascii="宋体" w:hAnsi="宋体" w:cs="宋体"/>
                <w:kern w:val="10"/>
                <w:sz w:val="24"/>
                <w:szCs w:val="24"/>
                <w:highlight w:val="none"/>
              </w:rPr>
              <w:t>将被拒绝</w:t>
            </w:r>
          </w:p>
        </w:tc>
      </w:tr>
      <w:tr w14:paraId="4AF16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935" w:type="dxa"/>
            <w:vMerge w:val="continue"/>
            <w:tcMar>
              <w:left w:w="57" w:type="dxa"/>
              <w:right w:w="57" w:type="dxa"/>
            </w:tcMar>
            <w:vAlign w:val="center"/>
          </w:tcPr>
          <w:p w14:paraId="68FF4160">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36C6FD24">
            <w:pPr>
              <w:pageBreakBefore w:val="0"/>
              <w:kinsoku/>
              <w:overflowPunct/>
              <w:topLinePunct w:val="0"/>
              <w:bidi w:val="0"/>
              <w:spacing w:line="360" w:lineRule="auto"/>
              <w:jc w:val="center"/>
              <w:outlineLvl w:val="9"/>
              <w:rPr>
                <w:rFonts w:ascii="宋体" w:hAnsi="宋体" w:cs="宋体"/>
                <w:sz w:val="24"/>
                <w:szCs w:val="24"/>
                <w:highlight w:val="none"/>
              </w:rPr>
            </w:pPr>
          </w:p>
        </w:tc>
        <w:tc>
          <w:tcPr>
            <w:tcW w:w="1938" w:type="dxa"/>
            <w:tcMar>
              <w:left w:w="57" w:type="dxa"/>
              <w:right w:w="57" w:type="dxa"/>
            </w:tcMar>
            <w:vAlign w:val="center"/>
          </w:tcPr>
          <w:p w14:paraId="216CC46B">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eastAsia="宋体" w:cs="宋体"/>
                <w:color w:val="000000"/>
                <w:sz w:val="24"/>
                <w:szCs w:val="24"/>
                <w:highlight w:val="none"/>
              </w:rPr>
              <w:t>磋商价格</w:t>
            </w:r>
          </w:p>
        </w:tc>
        <w:tc>
          <w:tcPr>
            <w:tcW w:w="5677" w:type="dxa"/>
            <w:vAlign w:val="center"/>
          </w:tcPr>
          <w:p w14:paraId="16D82A21">
            <w:pPr>
              <w:pageBreakBefore w:val="0"/>
              <w:kinsoku/>
              <w:overflowPunct/>
              <w:topLinePunct w:val="0"/>
              <w:bidi w:val="0"/>
              <w:spacing w:line="360" w:lineRule="auto"/>
              <w:outlineLvl w:val="9"/>
              <w:rPr>
                <w:rFonts w:ascii="宋体" w:hAnsi="宋体" w:cs="宋体"/>
                <w:sz w:val="24"/>
                <w:szCs w:val="24"/>
                <w:highlight w:val="none"/>
              </w:rPr>
            </w:pPr>
            <w:r>
              <w:rPr>
                <w:rFonts w:hint="eastAsia" w:ascii="宋体" w:hAnsi="宋体" w:cs="宋体"/>
                <w:bCs/>
                <w:sz w:val="24"/>
                <w:szCs w:val="24"/>
                <w:highlight w:val="none"/>
              </w:rPr>
              <w:t>本次磋商采用二轮（最终）报价法，供应商递交的响应文件中的报价为第一轮报价，</w:t>
            </w:r>
            <w:r>
              <w:rPr>
                <w:sz w:val="24"/>
                <w:highlight w:val="none"/>
              </w:rPr>
              <w:t>供应商</w:t>
            </w:r>
            <w:r>
              <w:rPr>
                <w:rFonts w:hint="eastAsia"/>
                <w:sz w:val="24"/>
                <w:highlight w:val="none"/>
              </w:rPr>
              <w:t>的两轮磋商</w:t>
            </w:r>
            <w:r>
              <w:rPr>
                <w:sz w:val="24"/>
                <w:highlight w:val="none"/>
              </w:rPr>
              <w:t>报价</w:t>
            </w:r>
            <w:r>
              <w:rPr>
                <w:rFonts w:hint="eastAsia"/>
                <w:sz w:val="24"/>
                <w:highlight w:val="none"/>
              </w:rPr>
              <w:t>都</w:t>
            </w:r>
            <w:r>
              <w:rPr>
                <w:sz w:val="24"/>
                <w:highlight w:val="none"/>
              </w:rPr>
              <w:t>不得高于采购人公布的</w:t>
            </w:r>
            <w:r>
              <w:rPr>
                <w:rFonts w:hint="eastAsia"/>
                <w:sz w:val="24"/>
                <w:highlight w:val="none"/>
              </w:rPr>
              <w:t>控制价</w:t>
            </w:r>
            <w:r>
              <w:rPr>
                <w:sz w:val="24"/>
                <w:highlight w:val="none"/>
              </w:rPr>
              <w:t>，否则其投标将被否决</w:t>
            </w:r>
          </w:p>
        </w:tc>
      </w:tr>
      <w:tr w14:paraId="3507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211" w:type="dxa"/>
            <w:gridSpan w:val="2"/>
            <w:tcMar>
              <w:left w:w="57" w:type="dxa"/>
              <w:right w:w="57" w:type="dxa"/>
            </w:tcMar>
            <w:vAlign w:val="center"/>
          </w:tcPr>
          <w:p w14:paraId="238BBFF5">
            <w:pPr>
              <w:pStyle w:val="20"/>
              <w:pageBreakBefore w:val="0"/>
              <w:tabs>
                <w:tab w:val="right" w:pos="2948"/>
              </w:tabs>
              <w:kinsoku/>
              <w:overflowPunct/>
              <w:topLinePunct w:val="0"/>
              <w:bidi w:val="0"/>
              <w:spacing w:before="0" w:beforeAutospacing="0" w:after="0" w:afterAutospacing="0" w:line="360" w:lineRule="auto"/>
              <w:jc w:val="center"/>
              <w:outlineLvl w:val="9"/>
              <w:rPr>
                <w:rFonts w:hint="default"/>
                <w:b/>
                <w:bCs/>
                <w:highlight w:val="none"/>
              </w:rPr>
            </w:pPr>
            <w:r>
              <w:rPr>
                <w:b/>
                <w:bCs/>
                <w:highlight w:val="none"/>
              </w:rPr>
              <w:t>条款号</w:t>
            </w:r>
          </w:p>
        </w:tc>
        <w:tc>
          <w:tcPr>
            <w:tcW w:w="1938" w:type="dxa"/>
            <w:tcMar>
              <w:left w:w="57" w:type="dxa"/>
              <w:right w:w="57" w:type="dxa"/>
            </w:tcMar>
            <w:vAlign w:val="center"/>
          </w:tcPr>
          <w:p w14:paraId="06110B04">
            <w:pPr>
              <w:pStyle w:val="20"/>
              <w:pageBreakBefore w:val="0"/>
              <w:kinsoku/>
              <w:overflowPunct/>
              <w:topLinePunct w:val="0"/>
              <w:bidi w:val="0"/>
              <w:spacing w:before="0" w:beforeAutospacing="0" w:after="0" w:afterAutospacing="0" w:line="360" w:lineRule="auto"/>
              <w:jc w:val="center"/>
              <w:outlineLvl w:val="9"/>
              <w:rPr>
                <w:rFonts w:hint="default"/>
                <w:b/>
                <w:bCs/>
                <w:highlight w:val="none"/>
              </w:rPr>
            </w:pPr>
            <w:r>
              <w:rPr>
                <w:b/>
                <w:bCs/>
                <w:highlight w:val="none"/>
              </w:rPr>
              <w:t>条款内容</w:t>
            </w:r>
          </w:p>
        </w:tc>
        <w:tc>
          <w:tcPr>
            <w:tcW w:w="5677" w:type="dxa"/>
            <w:tcMar>
              <w:left w:w="57" w:type="dxa"/>
              <w:right w:w="57" w:type="dxa"/>
            </w:tcMar>
            <w:vAlign w:val="center"/>
          </w:tcPr>
          <w:p w14:paraId="052A85A5">
            <w:pPr>
              <w:pStyle w:val="20"/>
              <w:pageBreakBefore w:val="0"/>
              <w:kinsoku/>
              <w:overflowPunct/>
              <w:topLinePunct w:val="0"/>
              <w:bidi w:val="0"/>
              <w:spacing w:before="0" w:beforeAutospacing="0" w:after="0" w:afterAutospacing="0" w:line="360" w:lineRule="auto"/>
              <w:jc w:val="both"/>
              <w:outlineLvl w:val="9"/>
              <w:rPr>
                <w:rFonts w:hint="default"/>
                <w:b/>
                <w:bCs/>
                <w:highlight w:val="none"/>
              </w:rPr>
            </w:pPr>
            <w:r>
              <w:rPr>
                <w:b/>
                <w:bCs/>
                <w:highlight w:val="none"/>
              </w:rPr>
              <w:t>编列内容</w:t>
            </w:r>
          </w:p>
        </w:tc>
      </w:tr>
      <w:tr w14:paraId="1E843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2211" w:type="dxa"/>
            <w:gridSpan w:val="2"/>
            <w:tcMar>
              <w:left w:w="57" w:type="dxa"/>
              <w:right w:w="57" w:type="dxa"/>
            </w:tcMar>
            <w:vAlign w:val="center"/>
          </w:tcPr>
          <w:p w14:paraId="55134784">
            <w:pPr>
              <w:pStyle w:val="20"/>
              <w:pageBreakBefore w:val="0"/>
              <w:kinsoku/>
              <w:overflowPunct/>
              <w:topLinePunct w:val="0"/>
              <w:bidi w:val="0"/>
              <w:spacing w:before="0" w:beforeAutospacing="0" w:after="0" w:afterAutospacing="0" w:line="360" w:lineRule="auto"/>
              <w:ind w:left="0" w:leftChars="0" w:right="0" w:rightChars="0"/>
              <w:jc w:val="center"/>
              <w:outlineLvl w:val="9"/>
              <w:rPr>
                <w:rFonts w:hint="default"/>
                <w:highlight w:val="none"/>
              </w:rPr>
            </w:pPr>
            <w:r>
              <w:rPr>
                <w:rFonts w:hint="eastAsia" w:ascii="宋体" w:hAnsi="宋体" w:eastAsia="宋体" w:cs="宋体"/>
                <w:highlight w:val="none"/>
              </w:rPr>
              <w:t>2.2.1</w:t>
            </w:r>
          </w:p>
        </w:tc>
        <w:tc>
          <w:tcPr>
            <w:tcW w:w="1938" w:type="dxa"/>
            <w:tcMar>
              <w:left w:w="57" w:type="dxa"/>
              <w:right w:w="57" w:type="dxa"/>
            </w:tcMar>
            <w:vAlign w:val="center"/>
          </w:tcPr>
          <w:p w14:paraId="1D8DCB67">
            <w:pPr>
              <w:pStyle w:val="20"/>
              <w:pageBreakBefore w:val="0"/>
              <w:kinsoku/>
              <w:overflowPunct/>
              <w:topLinePunct w:val="0"/>
              <w:bidi w:val="0"/>
              <w:spacing w:before="0" w:beforeAutospacing="0" w:after="0" w:afterAutospacing="0" w:line="360" w:lineRule="auto"/>
              <w:jc w:val="center"/>
              <w:outlineLvl w:val="9"/>
              <w:rPr>
                <w:rFonts w:hint="default"/>
                <w:highlight w:val="none"/>
              </w:rPr>
            </w:pPr>
            <w:r>
              <w:rPr>
                <w:highlight w:val="none"/>
              </w:rPr>
              <w:t>分值构成</w:t>
            </w:r>
          </w:p>
          <w:p w14:paraId="1FDD82C6">
            <w:pPr>
              <w:pStyle w:val="20"/>
              <w:pageBreakBefore w:val="0"/>
              <w:kinsoku/>
              <w:overflowPunct/>
              <w:topLinePunct w:val="0"/>
              <w:bidi w:val="0"/>
              <w:spacing w:before="0" w:beforeAutospacing="0" w:after="0" w:afterAutospacing="0" w:line="360" w:lineRule="auto"/>
              <w:ind w:left="0" w:leftChars="0" w:right="0" w:rightChars="0"/>
              <w:jc w:val="center"/>
              <w:outlineLvl w:val="9"/>
              <w:rPr>
                <w:rFonts w:hint="default"/>
                <w:highlight w:val="none"/>
              </w:rPr>
            </w:pPr>
            <w:r>
              <w:rPr>
                <w:highlight w:val="none"/>
              </w:rPr>
              <w:t>（总分100分）</w:t>
            </w:r>
          </w:p>
        </w:tc>
        <w:tc>
          <w:tcPr>
            <w:tcW w:w="5677" w:type="dxa"/>
            <w:tcMar>
              <w:left w:w="57" w:type="dxa"/>
              <w:right w:w="57" w:type="dxa"/>
            </w:tcMar>
            <w:vAlign w:val="center"/>
          </w:tcPr>
          <w:p w14:paraId="7C469E94">
            <w:pPr>
              <w:pageBreakBefore w:val="0"/>
              <w:kinsoku/>
              <w:overflowPunct/>
              <w:topLinePunct w:val="0"/>
              <w:bidi w:val="0"/>
              <w:spacing w:line="360" w:lineRule="auto"/>
              <w:jc w:val="both"/>
              <w:outlineLvl w:val="9"/>
              <w:rPr>
                <w:rFonts w:hint="eastAsia" w:ascii="宋体" w:hAnsi="宋体" w:cs="宋体"/>
                <w:sz w:val="24"/>
                <w:szCs w:val="24"/>
                <w:highlight w:val="none"/>
              </w:rPr>
            </w:pPr>
            <w:r>
              <w:rPr>
                <w:rFonts w:hint="eastAsia" w:ascii="宋体" w:hAnsi="宋体" w:cs="宋体"/>
                <w:sz w:val="24"/>
                <w:szCs w:val="24"/>
                <w:highlight w:val="none"/>
              </w:rPr>
              <w:t>磋商报价：30分</w:t>
            </w:r>
          </w:p>
          <w:p w14:paraId="07E21A33">
            <w:pPr>
              <w:pageBreakBefore w:val="0"/>
              <w:kinsoku/>
              <w:overflowPunct/>
              <w:topLinePunct w:val="0"/>
              <w:bidi w:val="0"/>
              <w:spacing w:line="360" w:lineRule="auto"/>
              <w:jc w:val="both"/>
              <w:outlineLvl w:val="9"/>
              <w:rPr>
                <w:rFonts w:ascii="宋体" w:hAnsi="宋体" w:cs="宋体"/>
                <w:sz w:val="24"/>
                <w:szCs w:val="24"/>
                <w:highlight w:val="none"/>
              </w:rPr>
            </w:pPr>
            <w:r>
              <w:rPr>
                <w:rFonts w:hint="eastAsia" w:ascii="宋体" w:hAnsi="宋体" w:cs="宋体"/>
                <w:sz w:val="24"/>
                <w:szCs w:val="24"/>
                <w:highlight w:val="none"/>
              </w:rPr>
              <w:t>技术标：</w:t>
            </w:r>
            <w:r>
              <w:rPr>
                <w:rFonts w:hint="eastAsia" w:ascii="宋体" w:hAnsi="宋体" w:cs="宋体"/>
                <w:sz w:val="24"/>
                <w:szCs w:val="24"/>
                <w:highlight w:val="none"/>
                <w:lang w:val="en-US" w:eastAsia="zh-CN"/>
              </w:rPr>
              <w:t>50</w:t>
            </w:r>
            <w:r>
              <w:rPr>
                <w:rFonts w:hint="eastAsia" w:ascii="宋体" w:hAnsi="宋体" w:cs="宋体"/>
                <w:sz w:val="24"/>
                <w:szCs w:val="24"/>
                <w:highlight w:val="none"/>
              </w:rPr>
              <w:t>分</w:t>
            </w:r>
          </w:p>
          <w:p w14:paraId="0204651F">
            <w:pPr>
              <w:pageBreakBefore w:val="0"/>
              <w:kinsoku/>
              <w:overflowPunct/>
              <w:topLinePunct w:val="0"/>
              <w:bidi w:val="0"/>
              <w:spacing w:line="360" w:lineRule="auto"/>
              <w:jc w:val="both"/>
              <w:outlineLvl w:val="9"/>
              <w:rPr>
                <w:rFonts w:ascii="宋体" w:hAnsi="宋体" w:cs="宋体"/>
                <w:sz w:val="24"/>
                <w:szCs w:val="24"/>
                <w:highlight w:val="none"/>
              </w:rPr>
            </w:pPr>
            <w:r>
              <w:rPr>
                <w:rFonts w:hint="eastAsia" w:ascii="宋体" w:hAnsi="宋体" w:cs="宋体"/>
                <w:sz w:val="24"/>
                <w:szCs w:val="24"/>
                <w:highlight w:val="none"/>
              </w:rPr>
              <w:t>综合标：</w:t>
            </w:r>
            <w:r>
              <w:rPr>
                <w:rFonts w:hint="eastAsia" w:ascii="宋体" w:hAnsi="宋体" w:cs="宋体"/>
                <w:sz w:val="24"/>
                <w:szCs w:val="24"/>
                <w:highlight w:val="none"/>
                <w:lang w:val="en-US" w:eastAsia="zh-CN"/>
              </w:rPr>
              <w:t>20</w:t>
            </w:r>
            <w:r>
              <w:rPr>
                <w:rFonts w:hint="eastAsia" w:ascii="宋体" w:hAnsi="宋体" w:cs="宋体"/>
                <w:sz w:val="24"/>
                <w:szCs w:val="24"/>
                <w:highlight w:val="none"/>
              </w:rPr>
              <w:t>分</w:t>
            </w:r>
          </w:p>
        </w:tc>
      </w:tr>
      <w:tr w14:paraId="2254E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11" w:type="dxa"/>
            <w:gridSpan w:val="2"/>
            <w:tcMar>
              <w:left w:w="57" w:type="dxa"/>
              <w:right w:w="57" w:type="dxa"/>
            </w:tcMar>
            <w:vAlign w:val="center"/>
          </w:tcPr>
          <w:p w14:paraId="67D11B98">
            <w:pPr>
              <w:pStyle w:val="20"/>
              <w:pageBreakBefore w:val="0"/>
              <w:tabs>
                <w:tab w:val="right" w:pos="2948"/>
              </w:tabs>
              <w:kinsoku/>
              <w:overflowPunct/>
              <w:topLinePunct w:val="0"/>
              <w:bidi w:val="0"/>
              <w:spacing w:before="0" w:beforeAutospacing="0" w:after="0" w:afterAutospacing="0" w:line="360" w:lineRule="auto"/>
              <w:jc w:val="center"/>
              <w:outlineLvl w:val="9"/>
              <w:rPr>
                <w:rFonts w:hint="default"/>
                <w:highlight w:val="none"/>
              </w:rPr>
            </w:pPr>
            <w:r>
              <w:rPr>
                <w:b/>
                <w:bCs/>
                <w:highlight w:val="none"/>
              </w:rPr>
              <w:t>条款号</w:t>
            </w:r>
          </w:p>
        </w:tc>
        <w:tc>
          <w:tcPr>
            <w:tcW w:w="1938" w:type="dxa"/>
            <w:tcMar>
              <w:left w:w="57" w:type="dxa"/>
              <w:right w:w="57" w:type="dxa"/>
            </w:tcMar>
            <w:vAlign w:val="center"/>
          </w:tcPr>
          <w:p w14:paraId="0F0DF5C9">
            <w:pPr>
              <w:pStyle w:val="20"/>
              <w:pageBreakBefore w:val="0"/>
              <w:kinsoku/>
              <w:overflowPunct/>
              <w:topLinePunct w:val="0"/>
              <w:bidi w:val="0"/>
              <w:spacing w:before="0" w:beforeAutospacing="0" w:after="0" w:afterAutospacing="0" w:line="360" w:lineRule="auto"/>
              <w:jc w:val="center"/>
              <w:outlineLvl w:val="9"/>
              <w:rPr>
                <w:rFonts w:hint="default"/>
                <w:highlight w:val="none"/>
              </w:rPr>
            </w:pPr>
            <w:r>
              <w:rPr>
                <w:b/>
                <w:highlight w:val="none"/>
              </w:rPr>
              <w:t>评分因素</w:t>
            </w:r>
          </w:p>
        </w:tc>
        <w:tc>
          <w:tcPr>
            <w:tcW w:w="5677" w:type="dxa"/>
            <w:tcMar>
              <w:left w:w="57" w:type="dxa"/>
              <w:right w:w="57" w:type="dxa"/>
            </w:tcMar>
            <w:vAlign w:val="center"/>
          </w:tcPr>
          <w:p w14:paraId="028770E4">
            <w:pPr>
              <w:pStyle w:val="20"/>
              <w:pageBreakBefore w:val="0"/>
              <w:kinsoku/>
              <w:overflowPunct/>
              <w:topLinePunct w:val="0"/>
              <w:bidi w:val="0"/>
              <w:spacing w:before="0" w:beforeAutospacing="0" w:after="0" w:afterAutospacing="0" w:line="360" w:lineRule="auto"/>
              <w:jc w:val="both"/>
              <w:outlineLvl w:val="9"/>
              <w:rPr>
                <w:rFonts w:hint="default"/>
                <w:highlight w:val="none"/>
              </w:rPr>
            </w:pPr>
            <w:r>
              <w:rPr>
                <w:b/>
                <w:bCs/>
                <w:highlight w:val="none"/>
              </w:rPr>
              <w:t>评分标准</w:t>
            </w:r>
          </w:p>
        </w:tc>
      </w:tr>
      <w:tr w14:paraId="3206E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935" w:type="dxa"/>
            <w:tcMar>
              <w:left w:w="57" w:type="dxa"/>
              <w:right w:w="57" w:type="dxa"/>
            </w:tcMar>
            <w:vAlign w:val="center"/>
          </w:tcPr>
          <w:p w14:paraId="5A738466">
            <w:pPr>
              <w:pStyle w:val="20"/>
              <w:pageBreakBefore w:val="0"/>
              <w:kinsoku/>
              <w:overflowPunct/>
              <w:topLinePunct w:val="0"/>
              <w:bidi w:val="0"/>
              <w:spacing w:before="0" w:beforeAutospacing="0" w:after="0" w:afterAutospacing="0" w:line="360" w:lineRule="auto"/>
              <w:jc w:val="center"/>
              <w:outlineLvl w:val="9"/>
              <w:rPr>
                <w:rFonts w:hint="default" w:eastAsiaTheme="minorEastAsia"/>
                <w:highlight w:val="none"/>
                <w:lang w:val="en-US" w:eastAsia="zh-CN"/>
              </w:rPr>
            </w:pPr>
            <w:r>
              <w:rPr>
                <w:rFonts w:hint="eastAsia" w:ascii="宋体" w:hAnsi="宋体" w:eastAsia="宋体" w:cs="宋体"/>
                <w:highlight w:val="none"/>
                <w:lang w:val="en-US" w:eastAsia="zh-CN"/>
              </w:rPr>
              <w:t>2.2.2（1）</w:t>
            </w:r>
          </w:p>
        </w:tc>
        <w:tc>
          <w:tcPr>
            <w:tcW w:w="1276" w:type="dxa"/>
            <w:tcMar>
              <w:left w:w="57" w:type="dxa"/>
              <w:right w:w="57" w:type="dxa"/>
            </w:tcMar>
            <w:vAlign w:val="center"/>
          </w:tcPr>
          <w:p w14:paraId="58D5C658">
            <w:pPr>
              <w:pageBreakBefore w:val="0"/>
              <w:kinsoku/>
              <w:overflowPunct/>
              <w:topLinePunct w:val="0"/>
              <w:bidi w:val="0"/>
              <w:spacing w:line="360" w:lineRule="auto"/>
              <w:jc w:val="center"/>
              <w:outlineLvl w:val="9"/>
              <w:rPr>
                <w:rFonts w:hint="eastAsia" w:ascii="宋体" w:hAnsi="宋体" w:cs="宋体"/>
                <w:sz w:val="24"/>
                <w:szCs w:val="24"/>
                <w:highlight w:val="none"/>
              </w:rPr>
            </w:pPr>
            <w:r>
              <w:rPr>
                <w:rFonts w:hint="eastAsia" w:ascii="宋体" w:hAnsi="宋体" w:cs="宋体"/>
                <w:sz w:val="24"/>
                <w:szCs w:val="24"/>
                <w:highlight w:val="none"/>
              </w:rPr>
              <w:t>磋商报价</w:t>
            </w:r>
            <w:r>
              <w:rPr>
                <w:rFonts w:hint="eastAsia" w:ascii="宋体" w:hAnsi="宋体" w:cs="宋体" w:eastAsiaTheme="minorEastAsia"/>
                <w:kern w:val="2"/>
                <w:sz w:val="24"/>
                <w:szCs w:val="24"/>
                <w:highlight w:val="none"/>
                <w:lang w:val="en-US" w:eastAsia="zh-CN" w:bidi="ar-SA"/>
              </w:rPr>
              <w:t>（30分</w:t>
            </w:r>
            <w:r>
              <w:rPr>
                <w:highlight w:val="none"/>
              </w:rPr>
              <w:t>）</w:t>
            </w:r>
          </w:p>
        </w:tc>
        <w:tc>
          <w:tcPr>
            <w:tcW w:w="1938" w:type="dxa"/>
            <w:tcMar>
              <w:left w:w="57" w:type="dxa"/>
              <w:right w:w="57" w:type="dxa"/>
            </w:tcMar>
            <w:vAlign w:val="center"/>
          </w:tcPr>
          <w:p w14:paraId="48630B57">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磋商报价得分</w:t>
            </w:r>
          </w:p>
          <w:p w14:paraId="03829654">
            <w:pPr>
              <w:pageBreakBefore w:val="0"/>
              <w:kinsoku/>
              <w:overflowPunct/>
              <w:topLinePunct w:val="0"/>
              <w:bidi w:val="0"/>
              <w:jc w:val="center"/>
              <w:outlineLvl w:val="9"/>
              <w:rPr>
                <w:rFonts w:hint="eastAsia" w:ascii="宋体" w:hAnsi="宋体" w:cs="宋体"/>
                <w:color w:val="000000"/>
                <w:sz w:val="24"/>
                <w:highlight w:val="none"/>
              </w:rPr>
            </w:pPr>
            <w:r>
              <w:rPr>
                <w:rFonts w:hint="eastAsia" w:ascii="宋体" w:hAnsi="宋体" w:cs="宋体"/>
                <w:sz w:val="24"/>
                <w:szCs w:val="24"/>
                <w:highlight w:val="none"/>
              </w:rPr>
              <w:t>（30分）</w:t>
            </w:r>
          </w:p>
        </w:tc>
        <w:tc>
          <w:tcPr>
            <w:tcW w:w="5677" w:type="dxa"/>
            <w:tcMar>
              <w:left w:w="57" w:type="dxa"/>
              <w:right w:w="57" w:type="dxa"/>
            </w:tcMar>
            <w:vAlign w:val="center"/>
          </w:tcPr>
          <w:p w14:paraId="3C2158C2">
            <w:pPr>
              <w:spacing w:line="400" w:lineRule="exact"/>
              <w:rPr>
                <w:rFonts w:hint="eastAsia" w:ascii="宋体" w:hAnsi="宋体" w:cs="宋体"/>
                <w:sz w:val="24"/>
                <w:szCs w:val="24"/>
                <w:highlight w:val="none"/>
              </w:rPr>
            </w:pPr>
            <w:r>
              <w:rPr>
                <w:rFonts w:hint="eastAsia" w:ascii="宋体" w:hAnsi="宋体" w:cs="宋体"/>
                <w:sz w:val="24"/>
                <w:szCs w:val="24"/>
                <w:highlight w:val="none"/>
              </w:rPr>
              <w:t>报价得分=（评标基准价/</w:t>
            </w:r>
            <w:r>
              <w:rPr>
                <w:rFonts w:hint="eastAsia" w:ascii="宋体" w:hAnsi="宋体" w:cs="宋体"/>
                <w:sz w:val="24"/>
                <w:szCs w:val="24"/>
                <w:highlight w:val="none"/>
                <w:lang w:eastAsia="zh-CN"/>
              </w:rPr>
              <w:t>磋商</w:t>
            </w:r>
            <w:r>
              <w:rPr>
                <w:rFonts w:hint="eastAsia" w:ascii="宋体" w:hAnsi="宋体" w:cs="宋体"/>
                <w:sz w:val="24"/>
                <w:szCs w:val="24"/>
                <w:highlight w:val="none"/>
              </w:rPr>
              <w:t>报价）×30</w:t>
            </w:r>
          </w:p>
          <w:p w14:paraId="1D679942">
            <w:pPr>
              <w:spacing w:line="400" w:lineRule="exact"/>
              <w:rPr>
                <w:rFonts w:ascii="宋体" w:hAnsi="宋体" w:cs="宋体"/>
                <w:sz w:val="24"/>
                <w:szCs w:val="24"/>
                <w:highlight w:val="none"/>
              </w:rPr>
            </w:pPr>
            <w:r>
              <w:rPr>
                <w:rFonts w:hint="eastAsia" w:ascii="宋体" w:hAnsi="宋体" w:cs="宋体"/>
                <w:sz w:val="24"/>
                <w:szCs w:val="24"/>
                <w:highlight w:val="none"/>
              </w:rPr>
              <w:t>评标基准价：满足竞争性磋商文件要求经评审报价最低为评标基准价，其价格分为满分；</w:t>
            </w:r>
          </w:p>
          <w:p w14:paraId="3A31C62C">
            <w:pPr>
              <w:numPr>
                <w:ilvl w:val="0"/>
                <w:numId w:val="0"/>
              </w:numPr>
              <w:spacing w:line="360" w:lineRule="auto"/>
              <w:rPr>
                <w:rFonts w:hint="eastAsia" w:ascii="宋体" w:hAnsi="宋体" w:eastAsia="宋体" w:cs="宋体"/>
                <w:b/>
                <w:bCs/>
                <w:color w:val="auto"/>
                <w:spacing w:val="-5"/>
                <w:sz w:val="23"/>
                <w:szCs w:val="23"/>
                <w:highlight w:val="none"/>
              </w:rPr>
            </w:pPr>
            <w:r>
              <w:rPr>
                <w:rFonts w:hint="eastAsia"/>
                <w:sz w:val="24"/>
                <w:szCs w:val="24"/>
                <w:highlight w:val="none"/>
              </w:rPr>
              <w:t>注：计算结果按四舍五入法则，保留小数点后两位</w:t>
            </w:r>
            <w:r>
              <w:rPr>
                <w:rFonts w:hint="eastAsia"/>
                <w:sz w:val="24"/>
                <w:szCs w:val="24"/>
                <w:highlight w:val="none"/>
                <w:lang w:eastAsia="zh-CN"/>
              </w:rPr>
              <w:t>。</w:t>
            </w:r>
            <w:r>
              <w:rPr>
                <w:rFonts w:hint="eastAsia" w:ascii="宋体" w:hAnsi="宋体" w:cs="宋体"/>
                <w:b/>
                <w:bCs/>
                <w:color w:val="auto"/>
                <w:sz w:val="24"/>
                <w:highlight w:val="none"/>
                <w:lang w:val="en-US" w:eastAsia="zh-CN"/>
              </w:rPr>
              <w:t>注：</w:t>
            </w:r>
            <w:r>
              <w:rPr>
                <w:rFonts w:hint="eastAsia" w:ascii="宋体" w:hAnsi="宋体" w:eastAsia="宋体" w:cs="宋体"/>
                <w:b/>
                <w:bCs/>
                <w:color w:val="auto"/>
                <w:spacing w:val="-5"/>
                <w:sz w:val="23"/>
                <w:szCs w:val="23"/>
                <w:highlight w:val="none"/>
              </w:rPr>
              <w:t>1.</w:t>
            </w:r>
            <w:r>
              <w:rPr>
                <w:rFonts w:hint="eastAsia" w:ascii="宋体" w:hAnsi="宋体" w:eastAsia="宋体" w:cs="宋体"/>
                <w:b/>
                <w:bCs/>
                <w:color w:val="auto"/>
                <w:spacing w:val="-5"/>
                <w:sz w:val="23"/>
                <w:szCs w:val="23"/>
                <w:highlight w:val="none"/>
                <w:lang w:val="en-US" w:eastAsia="zh-CN"/>
              </w:rPr>
              <w:t>根据《三门峡市 2023 年政府采购领域优化营商环境工作实施方案的通知》三财办【2023】4 号、《三门峡市财政局关于进一步加大政府采购支持中小企业发 展有关事项的通知》三财购【2022】9 号</w:t>
            </w:r>
            <w:r>
              <w:rPr>
                <w:rFonts w:hint="eastAsia" w:ascii="宋体" w:hAnsi="宋体" w:eastAsia="宋体" w:cs="宋体"/>
                <w:b/>
                <w:bCs/>
                <w:color w:val="auto"/>
                <w:spacing w:val="-5"/>
                <w:sz w:val="23"/>
                <w:szCs w:val="23"/>
                <w:highlight w:val="none"/>
              </w:rPr>
              <w:t>，对小型、微型企业产品的价格给予20%的扣除，本项目小型、微型企业按</w:t>
            </w:r>
            <w:r>
              <w:rPr>
                <w:rFonts w:hint="eastAsia" w:ascii="宋体" w:hAnsi="宋体" w:cs="宋体"/>
                <w:b/>
                <w:bCs/>
                <w:color w:val="auto"/>
                <w:spacing w:val="-5"/>
                <w:sz w:val="23"/>
                <w:szCs w:val="23"/>
                <w:highlight w:val="none"/>
                <w:lang w:val="en-US" w:eastAsia="zh-CN"/>
              </w:rPr>
              <w:t>20</w:t>
            </w:r>
            <w:r>
              <w:rPr>
                <w:rFonts w:hint="eastAsia" w:ascii="宋体" w:hAnsi="宋体" w:eastAsia="宋体" w:cs="宋体"/>
                <w:b/>
                <w:bCs/>
                <w:color w:val="auto"/>
                <w:spacing w:val="-5"/>
                <w:sz w:val="23"/>
                <w:szCs w:val="23"/>
                <w:highlight w:val="none"/>
              </w:rPr>
              <w:t>%扣除。对于中型企业产品的价格不予扣除。</w:t>
            </w:r>
          </w:p>
          <w:p w14:paraId="1C733897">
            <w:pPr>
              <w:numPr>
                <w:ilvl w:val="0"/>
                <w:numId w:val="0"/>
              </w:numPr>
              <w:spacing w:line="360" w:lineRule="auto"/>
              <w:rPr>
                <w:rFonts w:hint="eastAsia" w:ascii="宋体" w:hAnsi="宋体" w:eastAsia="宋体" w:cs="宋体"/>
                <w:b/>
                <w:bCs/>
                <w:color w:val="auto"/>
                <w:spacing w:val="-5"/>
                <w:sz w:val="23"/>
                <w:szCs w:val="23"/>
                <w:highlight w:val="none"/>
              </w:rPr>
            </w:pPr>
            <w:r>
              <w:rPr>
                <w:rFonts w:hint="eastAsia" w:ascii="宋体" w:hAnsi="宋体" w:eastAsia="宋体" w:cs="宋体"/>
                <w:b/>
                <w:bCs/>
                <w:color w:val="auto"/>
                <w:spacing w:val="-5"/>
                <w:sz w:val="23"/>
                <w:szCs w:val="23"/>
                <w:highlight w:val="none"/>
              </w:rPr>
              <w:t>所投小微企业产品报价=所投小微企业产品报价×（1-</w:t>
            </w:r>
            <w:r>
              <w:rPr>
                <w:rFonts w:hint="eastAsia" w:ascii="宋体" w:hAnsi="宋体" w:cs="宋体"/>
                <w:b/>
                <w:bCs/>
                <w:color w:val="auto"/>
                <w:spacing w:val="-5"/>
                <w:sz w:val="23"/>
                <w:szCs w:val="23"/>
                <w:highlight w:val="none"/>
                <w:lang w:val="en-US" w:eastAsia="zh-CN"/>
              </w:rPr>
              <w:t>2</w:t>
            </w:r>
            <w:r>
              <w:rPr>
                <w:rFonts w:hint="eastAsia" w:ascii="宋体" w:hAnsi="宋体" w:eastAsia="宋体" w:cs="宋体"/>
                <w:b/>
                <w:bCs/>
                <w:color w:val="auto"/>
                <w:spacing w:val="-5"/>
                <w:sz w:val="23"/>
                <w:szCs w:val="23"/>
                <w:highlight w:val="none"/>
                <w:lang w:val="en-US" w:eastAsia="zh-CN"/>
              </w:rPr>
              <w:t>0</w:t>
            </w:r>
            <w:r>
              <w:rPr>
                <w:rFonts w:hint="eastAsia" w:ascii="宋体" w:hAnsi="宋体" w:eastAsia="宋体" w:cs="宋体"/>
                <w:b/>
                <w:bCs/>
                <w:color w:val="auto"/>
                <w:spacing w:val="-5"/>
                <w:sz w:val="23"/>
                <w:szCs w:val="23"/>
                <w:highlight w:val="none"/>
              </w:rPr>
              <w:t>%）</w:t>
            </w:r>
          </w:p>
          <w:p w14:paraId="2EE76401">
            <w:pPr>
              <w:numPr>
                <w:ilvl w:val="0"/>
                <w:numId w:val="0"/>
              </w:numPr>
              <w:spacing w:line="360" w:lineRule="auto"/>
              <w:rPr>
                <w:rFonts w:hint="eastAsia" w:ascii="宋体" w:hAnsi="宋体" w:eastAsia="宋体" w:cs="宋体"/>
                <w:b/>
                <w:bCs/>
                <w:color w:val="auto"/>
                <w:spacing w:val="-5"/>
                <w:sz w:val="23"/>
                <w:szCs w:val="23"/>
                <w:highlight w:val="none"/>
              </w:rPr>
            </w:pPr>
            <w:r>
              <w:rPr>
                <w:rFonts w:hint="eastAsia" w:ascii="宋体" w:hAnsi="宋体" w:eastAsia="宋体" w:cs="宋体"/>
                <w:b/>
                <w:bCs/>
                <w:color w:val="auto"/>
                <w:spacing w:val="-5"/>
                <w:sz w:val="23"/>
                <w:szCs w:val="23"/>
                <w:highlight w:val="none"/>
              </w:rPr>
              <w:t>2.根据财政部司法部《关于政府采购支持监狱企业发展有关问题的通知》（财库〔2014〕68号）规定，对于监狱企业视同为小型、微型企业，价格给予</w:t>
            </w:r>
            <w:r>
              <w:rPr>
                <w:rFonts w:hint="eastAsia" w:ascii="宋体" w:hAnsi="宋体" w:cs="宋体"/>
                <w:b/>
                <w:bCs/>
                <w:color w:val="auto"/>
                <w:spacing w:val="-5"/>
                <w:sz w:val="23"/>
                <w:szCs w:val="23"/>
                <w:highlight w:val="none"/>
                <w:lang w:val="en-US" w:eastAsia="zh-CN"/>
              </w:rPr>
              <w:t>2</w:t>
            </w:r>
            <w:r>
              <w:rPr>
                <w:rFonts w:hint="eastAsia" w:ascii="宋体" w:hAnsi="宋体" w:eastAsia="宋体" w:cs="宋体"/>
                <w:b/>
                <w:bCs/>
                <w:color w:val="auto"/>
                <w:spacing w:val="-5"/>
                <w:sz w:val="23"/>
                <w:szCs w:val="23"/>
                <w:highlight w:val="none"/>
                <w:lang w:val="en-US" w:eastAsia="zh-CN"/>
              </w:rPr>
              <w:t>0</w:t>
            </w:r>
            <w:r>
              <w:rPr>
                <w:rFonts w:hint="eastAsia" w:ascii="宋体" w:hAnsi="宋体" w:eastAsia="宋体" w:cs="宋体"/>
                <w:b/>
                <w:bCs/>
                <w:color w:val="auto"/>
                <w:spacing w:val="-5"/>
                <w:sz w:val="23"/>
                <w:szCs w:val="23"/>
                <w:highlight w:val="none"/>
              </w:rPr>
              <w:t>%的扣除。</w:t>
            </w:r>
          </w:p>
          <w:p w14:paraId="031240FB">
            <w:pPr>
              <w:numPr>
                <w:ilvl w:val="0"/>
                <w:numId w:val="0"/>
              </w:numPr>
              <w:spacing w:line="360" w:lineRule="auto"/>
              <w:rPr>
                <w:rFonts w:hint="eastAsia" w:ascii="宋体" w:hAnsi="宋体" w:eastAsia="宋体" w:cs="宋体"/>
                <w:b/>
                <w:bCs/>
                <w:color w:val="auto"/>
                <w:spacing w:val="-5"/>
                <w:sz w:val="23"/>
                <w:szCs w:val="23"/>
                <w:highlight w:val="none"/>
              </w:rPr>
            </w:pPr>
            <w:r>
              <w:rPr>
                <w:rFonts w:hint="eastAsia" w:ascii="宋体" w:hAnsi="宋体" w:eastAsia="宋体" w:cs="宋体"/>
                <w:b/>
                <w:bCs/>
                <w:color w:val="auto"/>
                <w:spacing w:val="-5"/>
                <w:sz w:val="23"/>
                <w:szCs w:val="23"/>
                <w:highlight w:val="none"/>
              </w:rPr>
              <w:t>所投监狱企业产品报价=所投监狱企业产品报价×（1-</w:t>
            </w:r>
            <w:r>
              <w:rPr>
                <w:rFonts w:hint="eastAsia" w:ascii="宋体" w:hAnsi="宋体" w:cs="宋体"/>
                <w:b/>
                <w:bCs/>
                <w:color w:val="auto"/>
                <w:spacing w:val="-5"/>
                <w:sz w:val="23"/>
                <w:szCs w:val="23"/>
                <w:highlight w:val="none"/>
                <w:lang w:val="en-US" w:eastAsia="zh-CN"/>
              </w:rPr>
              <w:t>2</w:t>
            </w:r>
            <w:r>
              <w:rPr>
                <w:rFonts w:hint="eastAsia" w:ascii="宋体" w:hAnsi="宋体" w:eastAsia="宋体" w:cs="宋体"/>
                <w:b/>
                <w:bCs/>
                <w:color w:val="auto"/>
                <w:spacing w:val="-5"/>
                <w:sz w:val="23"/>
                <w:szCs w:val="23"/>
                <w:highlight w:val="none"/>
                <w:lang w:val="en-US" w:eastAsia="zh-CN"/>
              </w:rPr>
              <w:t>0</w:t>
            </w:r>
            <w:r>
              <w:rPr>
                <w:rFonts w:hint="eastAsia" w:ascii="宋体" w:hAnsi="宋体" w:eastAsia="宋体" w:cs="宋体"/>
                <w:b/>
                <w:bCs/>
                <w:color w:val="auto"/>
                <w:spacing w:val="-5"/>
                <w:sz w:val="23"/>
                <w:szCs w:val="23"/>
                <w:highlight w:val="none"/>
              </w:rPr>
              <w:t>%）</w:t>
            </w:r>
          </w:p>
          <w:p w14:paraId="2466811F">
            <w:pPr>
              <w:numPr>
                <w:ilvl w:val="0"/>
                <w:numId w:val="0"/>
              </w:numPr>
              <w:spacing w:line="360" w:lineRule="auto"/>
              <w:rPr>
                <w:rFonts w:ascii="宋体" w:hAnsi="宋体" w:eastAsia="宋体" w:cs="宋体"/>
                <w:b/>
                <w:bCs/>
                <w:color w:val="auto"/>
                <w:spacing w:val="-5"/>
                <w:sz w:val="23"/>
                <w:szCs w:val="23"/>
                <w:highlight w:val="none"/>
              </w:rPr>
            </w:pPr>
            <w:r>
              <w:rPr>
                <w:rFonts w:hint="eastAsia" w:ascii="宋体" w:hAnsi="宋体" w:eastAsia="宋体" w:cs="宋体"/>
                <w:b/>
                <w:bCs/>
                <w:color w:val="auto"/>
                <w:spacing w:val="-5"/>
                <w:sz w:val="23"/>
                <w:szCs w:val="23"/>
                <w:highlight w:val="none"/>
                <w:lang w:val="en-US" w:eastAsia="zh-CN"/>
              </w:rPr>
              <w:t>3.</w:t>
            </w:r>
            <w:r>
              <w:rPr>
                <w:rFonts w:hint="eastAsia" w:ascii="宋体" w:hAnsi="宋体" w:eastAsia="宋体" w:cs="宋体"/>
                <w:b/>
                <w:bCs/>
                <w:color w:val="auto"/>
                <w:spacing w:val="-5"/>
                <w:sz w:val="23"/>
                <w:szCs w:val="23"/>
                <w:highlight w:val="none"/>
              </w:rPr>
              <w:t>根据财政部民政部中国残疾人联合会《关于促进残疾人就业政府采购政策的通知》（财库〔2017〕141号）规定，对于</w:t>
            </w:r>
            <w:r>
              <w:rPr>
                <w:rFonts w:ascii="宋体" w:hAnsi="宋体" w:eastAsia="宋体" w:cs="宋体"/>
                <w:b/>
                <w:bCs/>
                <w:color w:val="auto"/>
                <w:spacing w:val="-5"/>
                <w:sz w:val="23"/>
                <w:szCs w:val="23"/>
                <w:highlight w:val="none"/>
              </w:rPr>
              <w:t>残疾人福利性单位视同</w:t>
            </w:r>
            <w:r>
              <w:rPr>
                <w:rFonts w:hint="eastAsia" w:ascii="宋体" w:hAnsi="宋体" w:eastAsia="宋体" w:cs="宋体"/>
                <w:b/>
                <w:bCs/>
                <w:color w:val="auto"/>
                <w:spacing w:val="-5"/>
                <w:sz w:val="23"/>
                <w:szCs w:val="23"/>
                <w:highlight w:val="none"/>
              </w:rPr>
              <w:t>为</w:t>
            </w:r>
            <w:r>
              <w:rPr>
                <w:rFonts w:ascii="宋体" w:hAnsi="宋体" w:eastAsia="宋体" w:cs="宋体"/>
                <w:b/>
                <w:bCs/>
                <w:color w:val="auto"/>
                <w:spacing w:val="-5"/>
                <w:sz w:val="23"/>
                <w:szCs w:val="23"/>
                <w:highlight w:val="none"/>
              </w:rPr>
              <w:t>小型、微型企业，</w:t>
            </w:r>
            <w:r>
              <w:rPr>
                <w:rFonts w:hint="eastAsia" w:ascii="宋体" w:hAnsi="宋体" w:eastAsia="宋体" w:cs="宋体"/>
                <w:b/>
                <w:bCs/>
                <w:color w:val="auto"/>
                <w:spacing w:val="-5"/>
                <w:sz w:val="23"/>
                <w:szCs w:val="23"/>
                <w:highlight w:val="none"/>
              </w:rPr>
              <w:t>价格给予</w:t>
            </w:r>
            <w:r>
              <w:rPr>
                <w:rFonts w:hint="eastAsia" w:ascii="宋体" w:hAnsi="宋体" w:cs="宋体"/>
                <w:b/>
                <w:bCs/>
                <w:color w:val="auto"/>
                <w:spacing w:val="-5"/>
                <w:sz w:val="23"/>
                <w:szCs w:val="23"/>
                <w:highlight w:val="none"/>
                <w:lang w:val="en-US" w:eastAsia="zh-CN"/>
              </w:rPr>
              <w:t>2</w:t>
            </w:r>
            <w:r>
              <w:rPr>
                <w:rFonts w:hint="eastAsia" w:ascii="宋体" w:hAnsi="宋体" w:eastAsia="宋体" w:cs="宋体"/>
                <w:b/>
                <w:bCs/>
                <w:color w:val="auto"/>
                <w:spacing w:val="-5"/>
                <w:sz w:val="23"/>
                <w:szCs w:val="23"/>
                <w:highlight w:val="none"/>
                <w:lang w:val="en-US" w:eastAsia="zh-CN"/>
              </w:rPr>
              <w:t>0</w:t>
            </w:r>
            <w:r>
              <w:rPr>
                <w:rFonts w:hint="eastAsia" w:ascii="宋体" w:hAnsi="宋体" w:eastAsia="宋体" w:cs="宋体"/>
                <w:b/>
                <w:bCs/>
                <w:color w:val="auto"/>
                <w:spacing w:val="-5"/>
                <w:sz w:val="23"/>
                <w:szCs w:val="23"/>
                <w:highlight w:val="none"/>
              </w:rPr>
              <w:t>%的扣除。</w:t>
            </w:r>
          </w:p>
          <w:p w14:paraId="5A8C7C72">
            <w:pPr>
              <w:numPr>
                <w:ilvl w:val="0"/>
                <w:numId w:val="0"/>
              </w:numPr>
              <w:spacing w:line="360" w:lineRule="auto"/>
              <w:rPr>
                <w:rFonts w:hint="eastAsia" w:ascii="宋体" w:hAnsi="宋体" w:eastAsia="宋体" w:cs="宋体"/>
                <w:b/>
                <w:bCs/>
                <w:color w:val="auto"/>
                <w:spacing w:val="-5"/>
                <w:sz w:val="23"/>
                <w:szCs w:val="23"/>
                <w:highlight w:val="none"/>
                <w:lang w:eastAsia="zh-CN"/>
              </w:rPr>
            </w:pPr>
            <w:r>
              <w:rPr>
                <w:rFonts w:hint="eastAsia" w:ascii="宋体" w:hAnsi="宋体" w:eastAsia="宋体" w:cs="宋体"/>
                <w:b/>
                <w:bCs/>
                <w:color w:val="auto"/>
                <w:spacing w:val="-5"/>
                <w:sz w:val="23"/>
                <w:szCs w:val="23"/>
                <w:highlight w:val="none"/>
              </w:rPr>
              <w:t>所投残疾人福利性单位企业产品报价=所投</w:t>
            </w:r>
            <w:r>
              <w:rPr>
                <w:rFonts w:ascii="宋体" w:hAnsi="宋体" w:eastAsia="宋体" w:cs="宋体"/>
                <w:b/>
                <w:bCs/>
                <w:color w:val="auto"/>
                <w:spacing w:val="-5"/>
                <w:sz w:val="23"/>
                <w:szCs w:val="23"/>
                <w:highlight w:val="none"/>
              </w:rPr>
              <w:t>残疾人福利性单位</w:t>
            </w:r>
            <w:r>
              <w:rPr>
                <w:rFonts w:hint="eastAsia" w:ascii="宋体" w:hAnsi="宋体" w:eastAsia="宋体" w:cs="宋体"/>
                <w:b/>
                <w:bCs/>
                <w:color w:val="auto"/>
                <w:spacing w:val="-5"/>
                <w:sz w:val="23"/>
                <w:szCs w:val="23"/>
                <w:highlight w:val="none"/>
              </w:rPr>
              <w:t>企业产品报价×（1-</w:t>
            </w:r>
            <w:r>
              <w:rPr>
                <w:rFonts w:hint="eastAsia" w:ascii="宋体" w:hAnsi="宋体" w:cs="宋体"/>
                <w:b/>
                <w:bCs/>
                <w:color w:val="auto"/>
                <w:spacing w:val="-5"/>
                <w:sz w:val="23"/>
                <w:szCs w:val="23"/>
                <w:highlight w:val="none"/>
                <w:lang w:val="en-US" w:eastAsia="zh-CN"/>
              </w:rPr>
              <w:t>2</w:t>
            </w:r>
            <w:r>
              <w:rPr>
                <w:rFonts w:hint="eastAsia" w:ascii="宋体" w:hAnsi="宋体" w:eastAsia="宋体" w:cs="宋体"/>
                <w:b/>
                <w:bCs/>
                <w:color w:val="auto"/>
                <w:spacing w:val="-5"/>
                <w:sz w:val="23"/>
                <w:szCs w:val="23"/>
                <w:highlight w:val="none"/>
                <w:lang w:val="en-US" w:eastAsia="zh-CN"/>
              </w:rPr>
              <w:t>0</w:t>
            </w:r>
            <w:r>
              <w:rPr>
                <w:rFonts w:hint="eastAsia" w:ascii="宋体" w:hAnsi="宋体" w:eastAsia="宋体" w:cs="宋体"/>
                <w:b/>
                <w:bCs/>
                <w:color w:val="auto"/>
                <w:spacing w:val="-5"/>
                <w:sz w:val="23"/>
                <w:szCs w:val="23"/>
                <w:highlight w:val="none"/>
              </w:rPr>
              <w:t>%）</w:t>
            </w:r>
            <w:r>
              <w:rPr>
                <w:rFonts w:hint="eastAsia" w:ascii="宋体" w:hAnsi="宋体" w:eastAsia="宋体" w:cs="宋体"/>
                <w:b/>
                <w:bCs/>
                <w:color w:val="auto"/>
                <w:spacing w:val="-5"/>
                <w:sz w:val="23"/>
                <w:szCs w:val="23"/>
                <w:highlight w:val="none"/>
                <w:lang w:eastAsia="zh-CN"/>
              </w:rPr>
              <w:t>。</w:t>
            </w:r>
          </w:p>
          <w:p w14:paraId="196BE970">
            <w:pPr>
              <w:autoSpaceDE w:val="0"/>
              <w:autoSpaceDN w:val="0"/>
              <w:adjustRightInd w:val="0"/>
              <w:snapToGrid w:val="0"/>
              <w:spacing w:line="360" w:lineRule="auto"/>
              <w:ind w:right="97"/>
              <w:jc w:val="left"/>
              <w:rPr>
                <w:rFonts w:hint="eastAsia"/>
                <w:sz w:val="24"/>
                <w:szCs w:val="24"/>
                <w:highlight w:val="none"/>
                <w:lang w:eastAsia="zh-CN"/>
              </w:rPr>
            </w:pPr>
            <w:r>
              <w:rPr>
                <w:rFonts w:hint="eastAsia" w:ascii="宋体" w:hAnsi="宋体" w:eastAsia="宋体" w:cs="宋体"/>
                <w:b/>
                <w:bCs/>
                <w:color w:val="auto"/>
                <w:spacing w:val="-5"/>
                <w:sz w:val="23"/>
                <w:szCs w:val="23"/>
                <w:highlight w:val="none"/>
              </w:rPr>
              <w:t>同一</w:t>
            </w:r>
            <w:r>
              <w:rPr>
                <w:rFonts w:hint="eastAsia" w:ascii="宋体" w:hAnsi="宋体" w:eastAsia="宋体" w:cs="宋体"/>
                <w:b/>
                <w:bCs/>
                <w:color w:val="auto"/>
                <w:spacing w:val="-5"/>
                <w:sz w:val="23"/>
                <w:szCs w:val="23"/>
                <w:highlight w:val="none"/>
                <w:lang w:eastAsia="zh-CN"/>
              </w:rPr>
              <w:t>投标人</w:t>
            </w:r>
            <w:r>
              <w:rPr>
                <w:rFonts w:hint="eastAsia" w:ascii="宋体" w:hAnsi="宋体" w:eastAsia="宋体" w:cs="宋体"/>
                <w:b/>
                <w:bCs/>
                <w:color w:val="auto"/>
                <w:spacing w:val="-5"/>
                <w:sz w:val="23"/>
                <w:szCs w:val="23"/>
                <w:highlight w:val="none"/>
              </w:rPr>
              <w:t>，中小微企业产品、监狱企业产品、残疾人福利性单位产品的价格扣除优惠只享受一次，不得重复享受。</w:t>
            </w:r>
          </w:p>
        </w:tc>
      </w:tr>
      <w:tr w14:paraId="7D98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935" w:type="dxa"/>
            <w:vMerge w:val="restart"/>
            <w:tcMar>
              <w:left w:w="57" w:type="dxa"/>
              <w:right w:w="57" w:type="dxa"/>
            </w:tcMar>
            <w:vAlign w:val="center"/>
          </w:tcPr>
          <w:p w14:paraId="70149F6E">
            <w:pPr>
              <w:pStyle w:val="20"/>
              <w:pageBreakBefore w:val="0"/>
              <w:kinsoku/>
              <w:overflowPunct/>
              <w:topLinePunct w:val="0"/>
              <w:bidi w:val="0"/>
              <w:spacing w:before="0" w:beforeAutospacing="0" w:after="0" w:afterAutospacing="0" w:line="360" w:lineRule="auto"/>
              <w:jc w:val="center"/>
              <w:outlineLvl w:val="9"/>
              <w:rPr>
                <w:rFonts w:hint="default"/>
                <w:highlight w:val="none"/>
              </w:rPr>
            </w:pPr>
            <w:r>
              <w:rPr>
                <w:rFonts w:hint="eastAsia" w:ascii="宋体" w:hAnsi="宋体" w:eastAsia="宋体" w:cs="宋体"/>
                <w:highlight w:val="none"/>
                <w:lang w:val="en-US" w:eastAsia="zh-CN"/>
              </w:rPr>
              <w:t>2.2.2 (2)</w:t>
            </w:r>
          </w:p>
        </w:tc>
        <w:tc>
          <w:tcPr>
            <w:tcW w:w="1276" w:type="dxa"/>
            <w:vMerge w:val="restart"/>
            <w:tcMar>
              <w:left w:w="57" w:type="dxa"/>
              <w:right w:w="57" w:type="dxa"/>
            </w:tcMar>
            <w:vAlign w:val="center"/>
          </w:tcPr>
          <w:p w14:paraId="6FA48BEC">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技术标评分（</w:t>
            </w:r>
            <w:r>
              <w:rPr>
                <w:rFonts w:hint="eastAsia" w:ascii="宋体" w:hAnsi="宋体" w:cs="宋体"/>
                <w:sz w:val="24"/>
                <w:szCs w:val="24"/>
                <w:highlight w:val="none"/>
                <w:lang w:val="en-US" w:eastAsia="zh-CN"/>
              </w:rPr>
              <w:t>50</w:t>
            </w:r>
            <w:r>
              <w:rPr>
                <w:rFonts w:hint="eastAsia" w:ascii="宋体" w:hAnsi="宋体" w:cs="宋体"/>
                <w:sz w:val="24"/>
                <w:szCs w:val="24"/>
                <w:highlight w:val="none"/>
              </w:rPr>
              <w:t>分）</w:t>
            </w:r>
          </w:p>
        </w:tc>
        <w:tc>
          <w:tcPr>
            <w:tcW w:w="1938" w:type="dxa"/>
            <w:shd w:val="clear" w:color="auto" w:fill="auto"/>
            <w:tcMar>
              <w:left w:w="57" w:type="dxa"/>
              <w:right w:w="57" w:type="dxa"/>
            </w:tcMar>
            <w:vAlign w:val="center"/>
          </w:tcPr>
          <w:p w14:paraId="6EFCCDE8">
            <w:pPr>
              <w:snapToGrid w:val="0"/>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设备技术</w:t>
            </w:r>
          </w:p>
          <w:p w14:paraId="277F5B8F">
            <w:pPr>
              <w:snapToGrid w:val="0"/>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参数</w:t>
            </w:r>
          </w:p>
          <w:p w14:paraId="735BA54A">
            <w:pPr>
              <w:snapToGrid w:val="0"/>
              <w:spacing w:line="360" w:lineRule="auto"/>
              <w:jc w:val="center"/>
              <w:rPr>
                <w:rFonts w:hint="eastAsia" w:eastAsia="仿宋" w:asciiTheme="minorHAnsi" w:hAnsiTheme="minorHAnsi" w:cstheme="minorBidi"/>
                <w:kern w:val="2"/>
                <w:sz w:val="21"/>
                <w:szCs w:val="22"/>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20分）</w:t>
            </w:r>
          </w:p>
        </w:tc>
        <w:tc>
          <w:tcPr>
            <w:tcW w:w="5677" w:type="dxa"/>
            <w:shd w:val="clear" w:color="auto" w:fill="auto"/>
            <w:tcMar>
              <w:left w:w="57" w:type="dxa"/>
              <w:right w:w="57" w:type="dxa"/>
            </w:tcMar>
            <w:vAlign w:val="center"/>
          </w:tcPr>
          <w:p w14:paraId="0580983F">
            <w:pPr>
              <w:spacing w:line="420" w:lineRule="exact"/>
              <w:jc w:val="left"/>
              <w:rPr>
                <w:rFonts w:hint="default" w:eastAsia="宋体" w:asciiTheme="minorHAnsi" w:hAnsiTheme="minorHAnsi" w:cstheme="minorBidi"/>
                <w:kern w:val="2"/>
                <w:sz w:val="24"/>
                <w:szCs w:val="24"/>
                <w:highlight w:val="none"/>
                <w:lang w:val="en-US" w:eastAsia="zh-CN" w:bidi="ar-SA"/>
              </w:rPr>
            </w:pPr>
            <w:r>
              <w:rPr>
                <w:rFonts w:hint="eastAsia" w:ascii="宋体" w:hAnsi="宋体" w:eastAsia="宋体" w:cs="宋体"/>
                <w:kern w:val="2"/>
                <w:sz w:val="24"/>
                <w:szCs w:val="24"/>
                <w:highlight w:val="none"/>
                <w:lang w:val="zh-TW" w:eastAsia="zh-TW" w:bidi="ar-SA"/>
              </w:rPr>
              <w:t>根据</w:t>
            </w:r>
            <w:r>
              <w:rPr>
                <w:rFonts w:hint="eastAsia" w:ascii="宋体" w:hAnsi="宋体" w:eastAsia="宋体" w:cs="宋体"/>
                <w:kern w:val="2"/>
                <w:sz w:val="24"/>
                <w:szCs w:val="24"/>
                <w:highlight w:val="none"/>
                <w:lang w:val="zh-TW" w:eastAsia="zh-CN" w:bidi="ar-SA"/>
              </w:rPr>
              <w:t>响应</w:t>
            </w:r>
            <w:r>
              <w:rPr>
                <w:rFonts w:hint="eastAsia" w:ascii="宋体" w:hAnsi="宋体" w:eastAsia="宋体" w:cs="宋体"/>
                <w:kern w:val="2"/>
                <w:sz w:val="24"/>
                <w:szCs w:val="24"/>
                <w:highlight w:val="none"/>
                <w:lang w:val="zh-TW" w:eastAsia="zh-TW" w:bidi="ar-SA"/>
              </w:rPr>
              <w:t>文件对</w:t>
            </w:r>
            <w:r>
              <w:rPr>
                <w:rFonts w:hint="eastAsia" w:ascii="宋体" w:hAnsi="宋体" w:eastAsia="宋体" w:cs="宋体"/>
                <w:kern w:val="2"/>
                <w:sz w:val="24"/>
                <w:szCs w:val="24"/>
                <w:highlight w:val="none"/>
                <w:lang w:val="zh-TW" w:eastAsia="zh-CN" w:bidi="ar-SA"/>
              </w:rPr>
              <w:t>竞争性磋商</w:t>
            </w:r>
            <w:r>
              <w:rPr>
                <w:rFonts w:hint="eastAsia" w:ascii="宋体" w:hAnsi="宋体" w:eastAsia="宋体" w:cs="宋体"/>
                <w:kern w:val="2"/>
                <w:sz w:val="24"/>
                <w:szCs w:val="24"/>
                <w:highlight w:val="none"/>
                <w:lang w:val="zh-TW" w:eastAsia="zh-TW" w:bidi="ar-SA"/>
              </w:rPr>
              <w:t>文件要求的技术</w:t>
            </w:r>
            <w:r>
              <w:rPr>
                <w:rFonts w:hint="eastAsia" w:ascii="宋体" w:hAnsi="宋体" w:eastAsia="宋体" w:cs="宋体"/>
                <w:kern w:val="2"/>
                <w:sz w:val="24"/>
                <w:szCs w:val="24"/>
                <w:highlight w:val="none"/>
                <w:lang w:val="zh-TW" w:eastAsia="zh-CN" w:bidi="ar-SA"/>
              </w:rPr>
              <w:t>参数</w:t>
            </w:r>
            <w:r>
              <w:rPr>
                <w:rFonts w:hint="eastAsia" w:ascii="宋体" w:hAnsi="宋体" w:eastAsia="宋体" w:cs="宋体"/>
                <w:kern w:val="2"/>
                <w:sz w:val="24"/>
                <w:szCs w:val="24"/>
                <w:highlight w:val="none"/>
                <w:lang w:val="zh-TW" w:eastAsia="zh-TW" w:bidi="ar-SA"/>
              </w:rPr>
              <w:t>响应情况，判断所投货物技术指标是否满足</w:t>
            </w:r>
            <w:r>
              <w:rPr>
                <w:rFonts w:hint="eastAsia" w:ascii="宋体" w:hAnsi="宋体" w:eastAsia="宋体" w:cs="宋体"/>
                <w:kern w:val="2"/>
                <w:sz w:val="24"/>
                <w:szCs w:val="24"/>
                <w:highlight w:val="none"/>
                <w:lang w:val="zh-TW" w:eastAsia="zh-CN" w:bidi="ar-SA"/>
              </w:rPr>
              <w:t>竞争性磋商</w:t>
            </w:r>
            <w:r>
              <w:rPr>
                <w:rFonts w:hint="eastAsia" w:ascii="宋体" w:hAnsi="宋体" w:eastAsia="宋体" w:cs="宋体"/>
                <w:kern w:val="2"/>
                <w:sz w:val="24"/>
                <w:szCs w:val="24"/>
                <w:highlight w:val="none"/>
                <w:lang w:val="zh-TW" w:eastAsia="zh-TW" w:bidi="ar-SA"/>
              </w:rPr>
              <w:t>文件的要求，</w:t>
            </w:r>
            <w:r>
              <w:rPr>
                <w:rFonts w:hint="eastAsia" w:ascii="宋体" w:hAnsi="宋体" w:eastAsia="宋体" w:cs="宋体"/>
                <w:kern w:val="2"/>
                <w:sz w:val="24"/>
                <w:szCs w:val="24"/>
                <w:highlight w:val="none"/>
                <w:lang w:val="zh-TW" w:eastAsia="zh-CN" w:bidi="ar-SA"/>
              </w:rPr>
              <w:t>完全响应的得满分，</w:t>
            </w:r>
            <w:r>
              <w:rPr>
                <w:rFonts w:hint="eastAsia" w:ascii="宋体" w:hAnsi="宋体" w:eastAsia="宋体" w:cs="宋体"/>
                <w:kern w:val="2"/>
                <w:sz w:val="24"/>
                <w:szCs w:val="24"/>
                <w:highlight w:val="none"/>
                <w:lang w:val="zh-TW" w:eastAsia="zh-TW" w:bidi="ar-SA"/>
              </w:rPr>
              <w:t>技术要求中的技术指标每一</w:t>
            </w:r>
            <w:r>
              <w:rPr>
                <w:rFonts w:hint="eastAsia" w:ascii="宋体" w:hAnsi="宋体" w:eastAsia="宋体" w:cs="宋体"/>
                <w:kern w:val="2"/>
                <w:sz w:val="24"/>
                <w:szCs w:val="24"/>
                <w:highlight w:val="none"/>
                <w:lang w:val="zh-TW" w:eastAsia="zh-CN" w:bidi="ar-SA"/>
              </w:rPr>
              <w:t>项</w:t>
            </w:r>
            <w:r>
              <w:rPr>
                <w:rFonts w:hint="eastAsia" w:ascii="宋体" w:hAnsi="宋体" w:eastAsia="宋体" w:cs="宋体"/>
                <w:kern w:val="2"/>
                <w:sz w:val="24"/>
                <w:szCs w:val="24"/>
                <w:highlight w:val="none"/>
                <w:lang w:val="zh-TW" w:eastAsia="zh-TW" w:bidi="ar-SA"/>
              </w:rPr>
              <w:t>不满足扣</w:t>
            </w:r>
            <w:r>
              <w:rPr>
                <w:rFonts w:hint="eastAsia" w:ascii="宋体" w:hAnsi="宋体" w:eastAsia="宋体" w:cs="宋体"/>
                <w:kern w:val="2"/>
                <w:sz w:val="24"/>
                <w:szCs w:val="24"/>
                <w:highlight w:val="none"/>
                <w:lang w:val="en-US" w:eastAsia="zh-CN" w:bidi="ar-SA"/>
              </w:rPr>
              <w:t>2</w:t>
            </w:r>
            <w:r>
              <w:rPr>
                <w:rFonts w:hint="eastAsia" w:ascii="宋体" w:hAnsi="宋体" w:eastAsia="宋体" w:cs="宋体"/>
                <w:kern w:val="2"/>
                <w:sz w:val="24"/>
                <w:szCs w:val="24"/>
                <w:highlight w:val="none"/>
                <w:lang w:val="zh-TW" w:eastAsia="zh-TW" w:bidi="ar-SA"/>
              </w:rPr>
              <w:t>分，</w:t>
            </w:r>
            <w:r>
              <w:rPr>
                <w:rFonts w:hint="eastAsia" w:ascii="宋体" w:hAnsi="宋体" w:eastAsia="宋体" w:cs="宋体"/>
                <w:kern w:val="2"/>
                <w:sz w:val="24"/>
                <w:szCs w:val="24"/>
                <w:highlight w:val="none"/>
                <w:lang w:val="zh-TW" w:eastAsia="zh-CN" w:bidi="ar-SA"/>
              </w:rPr>
              <w:t>负偏离参数达到</w:t>
            </w:r>
            <w:r>
              <w:rPr>
                <w:rFonts w:hint="eastAsia" w:ascii="宋体" w:hAnsi="宋体" w:eastAsia="宋体" w:cs="宋体"/>
                <w:kern w:val="2"/>
                <w:sz w:val="24"/>
                <w:szCs w:val="24"/>
                <w:highlight w:val="none"/>
                <w:lang w:val="en-US" w:eastAsia="zh-CN" w:bidi="ar-SA"/>
              </w:rPr>
              <w:t>5项及以上的本项不得分</w:t>
            </w:r>
            <w:r>
              <w:rPr>
                <w:rFonts w:hint="eastAsia" w:ascii="宋体" w:hAnsi="宋体" w:eastAsia="宋体" w:cs="宋体"/>
                <w:kern w:val="2"/>
                <w:sz w:val="24"/>
                <w:szCs w:val="24"/>
                <w:highlight w:val="none"/>
                <w:lang w:val="zh-TW" w:eastAsia="zh-TW" w:bidi="ar-SA"/>
              </w:rPr>
              <w:t>。</w:t>
            </w:r>
          </w:p>
        </w:tc>
      </w:tr>
      <w:tr w14:paraId="45D0D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 w:type="dxa"/>
            <w:vMerge w:val="continue"/>
            <w:tcMar>
              <w:left w:w="57" w:type="dxa"/>
              <w:right w:w="57" w:type="dxa"/>
            </w:tcMar>
            <w:vAlign w:val="center"/>
          </w:tcPr>
          <w:p w14:paraId="58ACD196">
            <w:pPr>
              <w:pStyle w:val="20"/>
              <w:pageBreakBefore w:val="0"/>
              <w:kinsoku/>
              <w:overflowPunct/>
              <w:topLinePunct w:val="0"/>
              <w:bidi w:val="0"/>
              <w:spacing w:before="0" w:beforeAutospacing="0" w:after="0" w:afterAutospacing="0" w:line="360" w:lineRule="auto"/>
              <w:jc w:val="center"/>
              <w:outlineLvl w:val="9"/>
              <w:rPr>
                <w:rFonts w:hint="default"/>
                <w:highlight w:val="none"/>
              </w:rPr>
            </w:pPr>
          </w:p>
        </w:tc>
        <w:tc>
          <w:tcPr>
            <w:tcW w:w="1276" w:type="dxa"/>
            <w:vMerge w:val="continue"/>
            <w:tcMar>
              <w:left w:w="57" w:type="dxa"/>
              <w:right w:w="57" w:type="dxa"/>
            </w:tcMar>
            <w:vAlign w:val="center"/>
          </w:tcPr>
          <w:p w14:paraId="714F3849">
            <w:pPr>
              <w:pStyle w:val="20"/>
              <w:pageBreakBefore w:val="0"/>
              <w:kinsoku/>
              <w:overflowPunct/>
              <w:topLinePunct w:val="0"/>
              <w:bidi w:val="0"/>
              <w:spacing w:before="0" w:beforeAutospacing="0" w:after="0" w:afterAutospacing="0" w:line="360" w:lineRule="auto"/>
              <w:jc w:val="center"/>
              <w:outlineLvl w:val="9"/>
              <w:rPr>
                <w:rFonts w:hint="default"/>
                <w:highlight w:val="none"/>
              </w:rPr>
            </w:pPr>
          </w:p>
        </w:tc>
        <w:tc>
          <w:tcPr>
            <w:tcW w:w="1938" w:type="dxa"/>
            <w:vMerge w:val="restart"/>
            <w:shd w:val="clear" w:color="auto" w:fill="auto"/>
            <w:tcMar>
              <w:left w:w="57" w:type="dxa"/>
              <w:right w:w="57" w:type="dxa"/>
            </w:tcMar>
            <w:vAlign w:val="center"/>
          </w:tcPr>
          <w:p w14:paraId="70ECD089">
            <w:pPr>
              <w:snapToGrid w:val="0"/>
              <w:jc w:val="center"/>
              <w:rPr>
                <w:rFonts w:hint="eastAsia" w:ascii="宋体" w:hAnsi="宋体"/>
                <w:sz w:val="24"/>
                <w:szCs w:val="24"/>
                <w:highlight w:val="none"/>
              </w:rPr>
            </w:pPr>
          </w:p>
          <w:p w14:paraId="2309ABF4">
            <w:pPr>
              <w:snapToGrid w:val="0"/>
              <w:jc w:val="center"/>
              <w:rPr>
                <w:rFonts w:hint="eastAsia" w:ascii="宋体" w:hAnsi="宋体"/>
                <w:sz w:val="24"/>
                <w:szCs w:val="24"/>
                <w:highlight w:val="none"/>
              </w:rPr>
            </w:pPr>
          </w:p>
          <w:p w14:paraId="105C6FF9">
            <w:pPr>
              <w:snapToGrid w:val="0"/>
              <w:jc w:val="center"/>
              <w:rPr>
                <w:rFonts w:hint="eastAsia" w:ascii="宋体" w:hAnsi="宋体"/>
                <w:sz w:val="24"/>
                <w:szCs w:val="24"/>
                <w:highlight w:val="none"/>
              </w:rPr>
            </w:pPr>
          </w:p>
          <w:p w14:paraId="09DD7F63">
            <w:pPr>
              <w:snapToGrid w:val="0"/>
              <w:jc w:val="center"/>
              <w:rPr>
                <w:rFonts w:hint="eastAsia" w:ascii="宋体" w:hAnsi="宋体"/>
                <w:sz w:val="24"/>
                <w:szCs w:val="24"/>
                <w:highlight w:val="none"/>
              </w:rPr>
            </w:pPr>
          </w:p>
          <w:p w14:paraId="2635CE4C">
            <w:pPr>
              <w:snapToGrid w:val="0"/>
              <w:jc w:val="center"/>
              <w:rPr>
                <w:rFonts w:hint="eastAsia" w:ascii="宋体" w:hAnsi="宋体"/>
                <w:sz w:val="24"/>
                <w:szCs w:val="24"/>
                <w:highlight w:val="none"/>
              </w:rPr>
            </w:pPr>
          </w:p>
          <w:p w14:paraId="68360292">
            <w:pPr>
              <w:snapToGrid w:val="0"/>
              <w:jc w:val="center"/>
              <w:rPr>
                <w:rFonts w:hint="eastAsia" w:ascii="宋体" w:hAnsi="宋体"/>
                <w:sz w:val="24"/>
                <w:szCs w:val="24"/>
                <w:highlight w:val="none"/>
              </w:rPr>
            </w:pPr>
          </w:p>
          <w:p w14:paraId="7349B4AE">
            <w:pPr>
              <w:snapToGrid w:val="0"/>
              <w:jc w:val="center"/>
              <w:rPr>
                <w:rFonts w:hint="eastAsia" w:ascii="宋体" w:hAnsi="宋体"/>
                <w:sz w:val="24"/>
                <w:szCs w:val="24"/>
                <w:highlight w:val="none"/>
              </w:rPr>
            </w:pPr>
          </w:p>
          <w:p w14:paraId="1CA2DEF6">
            <w:pPr>
              <w:snapToGrid w:val="0"/>
              <w:jc w:val="center"/>
              <w:rPr>
                <w:rFonts w:hint="eastAsia" w:ascii="宋体" w:hAnsi="宋体"/>
                <w:sz w:val="24"/>
                <w:szCs w:val="24"/>
                <w:highlight w:val="none"/>
              </w:rPr>
            </w:pPr>
          </w:p>
          <w:p w14:paraId="4A4773F0">
            <w:pPr>
              <w:snapToGrid w:val="0"/>
              <w:jc w:val="center"/>
              <w:rPr>
                <w:rFonts w:hint="eastAsia" w:ascii="宋体" w:hAnsi="宋体"/>
                <w:sz w:val="24"/>
                <w:szCs w:val="24"/>
                <w:highlight w:val="none"/>
              </w:rPr>
            </w:pPr>
          </w:p>
          <w:p w14:paraId="563AAC27">
            <w:pPr>
              <w:snapToGrid w:val="0"/>
              <w:jc w:val="center"/>
              <w:rPr>
                <w:rFonts w:hint="eastAsia" w:ascii="宋体" w:hAnsi="宋体"/>
                <w:sz w:val="24"/>
                <w:szCs w:val="24"/>
                <w:highlight w:val="none"/>
              </w:rPr>
            </w:pPr>
          </w:p>
          <w:p w14:paraId="07BCC7DA">
            <w:pPr>
              <w:snapToGrid w:val="0"/>
              <w:jc w:val="center"/>
              <w:rPr>
                <w:rFonts w:hint="eastAsia" w:ascii="宋体" w:hAnsi="宋体"/>
                <w:sz w:val="24"/>
                <w:szCs w:val="24"/>
                <w:highlight w:val="none"/>
              </w:rPr>
            </w:pPr>
          </w:p>
          <w:p w14:paraId="588FA58F">
            <w:pPr>
              <w:snapToGrid w:val="0"/>
              <w:jc w:val="center"/>
              <w:rPr>
                <w:rFonts w:hint="eastAsia" w:ascii="宋体" w:hAnsi="宋体"/>
                <w:sz w:val="24"/>
                <w:szCs w:val="24"/>
                <w:highlight w:val="none"/>
              </w:rPr>
            </w:pPr>
          </w:p>
          <w:p w14:paraId="272FADD8">
            <w:pPr>
              <w:snapToGrid w:val="0"/>
              <w:jc w:val="center"/>
              <w:rPr>
                <w:rFonts w:hint="eastAsia" w:ascii="宋体" w:hAnsi="宋体"/>
                <w:sz w:val="24"/>
                <w:szCs w:val="24"/>
                <w:highlight w:val="none"/>
              </w:rPr>
            </w:pPr>
          </w:p>
          <w:p w14:paraId="264F97D3">
            <w:pPr>
              <w:snapToGrid w:val="0"/>
              <w:jc w:val="center"/>
              <w:rPr>
                <w:rFonts w:hint="eastAsia" w:ascii="宋体" w:hAnsi="宋体"/>
                <w:sz w:val="24"/>
                <w:szCs w:val="24"/>
                <w:highlight w:val="none"/>
              </w:rPr>
            </w:pPr>
            <w:r>
              <w:rPr>
                <w:rFonts w:hint="eastAsia" w:ascii="宋体" w:hAnsi="宋体"/>
                <w:sz w:val="24"/>
                <w:szCs w:val="24"/>
                <w:highlight w:val="none"/>
              </w:rPr>
              <w:t>项目实施</w:t>
            </w:r>
          </w:p>
          <w:p w14:paraId="05F0AD7F">
            <w:pPr>
              <w:snapToGrid w:val="0"/>
              <w:jc w:val="center"/>
              <w:rPr>
                <w:rFonts w:hint="eastAsia" w:ascii="宋体" w:hAnsi="宋体"/>
                <w:sz w:val="24"/>
                <w:szCs w:val="24"/>
                <w:highlight w:val="none"/>
              </w:rPr>
            </w:pPr>
            <w:r>
              <w:rPr>
                <w:rFonts w:hint="eastAsia" w:ascii="宋体" w:hAnsi="宋体"/>
                <w:sz w:val="24"/>
                <w:szCs w:val="24"/>
                <w:highlight w:val="none"/>
              </w:rPr>
              <w:t>方案</w:t>
            </w:r>
          </w:p>
          <w:p w14:paraId="7771C3C2">
            <w:pPr>
              <w:pageBreakBefore w:val="0"/>
              <w:kinsoku/>
              <w:overflowPunct/>
              <w:topLinePunct w:val="0"/>
              <w:bidi w:val="0"/>
              <w:spacing w:line="360" w:lineRule="auto"/>
              <w:jc w:val="center"/>
              <w:outlineLvl w:val="9"/>
              <w:rPr>
                <w:rFonts w:hint="eastAsia" w:asciiTheme="minorHAnsi" w:hAnsiTheme="minorHAnsi" w:eastAsiaTheme="minorEastAsia" w:cstheme="minorBidi"/>
                <w:kern w:val="2"/>
                <w:sz w:val="21"/>
                <w:szCs w:val="22"/>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30分</w:t>
            </w:r>
            <w:r>
              <w:rPr>
                <w:rFonts w:hint="eastAsia" w:ascii="宋体" w:hAnsi="宋体" w:eastAsia="宋体" w:cs="宋体"/>
                <w:sz w:val="24"/>
                <w:szCs w:val="24"/>
                <w:highlight w:val="none"/>
                <w:lang w:eastAsia="zh-CN"/>
              </w:rPr>
              <w:t>）</w:t>
            </w:r>
          </w:p>
        </w:tc>
        <w:tc>
          <w:tcPr>
            <w:tcW w:w="5677" w:type="dxa"/>
            <w:shd w:val="clear" w:color="auto" w:fill="auto"/>
            <w:tcMar>
              <w:left w:w="57" w:type="dxa"/>
              <w:right w:w="57" w:type="dxa"/>
            </w:tcMar>
            <w:vAlign w:val="center"/>
          </w:tcPr>
          <w:p w14:paraId="31C62B38">
            <w:pPr>
              <w:spacing w:line="420" w:lineRule="exact"/>
              <w:jc w:val="left"/>
              <w:rPr>
                <w:rFonts w:hint="eastAsia" w:ascii="宋体" w:hAnsi="宋体"/>
                <w:kern w:val="2"/>
                <w:sz w:val="24"/>
                <w:szCs w:val="24"/>
                <w:highlight w:val="none"/>
                <w:lang w:val="zh-TW" w:eastAsia="zh-CN" w:bidi="ar-SA"/>
              </w:rPr>
            </w:pPr>
            <w:r>
              <w:rPr>
                <w:rFonts w:hint="eastAsia" w:ascii="宋体" w:hAnsi="宋体"/>
                <w:kern w:val="2"/>
                <w:sz w:val="24"/>
                <w:szCs w:val="24"/>
                <w:highlight w:val="none"/>
                <w:lang w:val="zh-TW" w:eastAsia="zh-CN" w:bidi="ar-SA"/>
              </w:rPr>
              <w:t>项目实施计划（</w:t>
            </w:r>
            <w:r>
              <w:rPr>
                <w:rFonts w:hint="eastAsia" w:ascii="宋体" w:hAnsi="宋体"/>
                <w:kern w:val="2"/>
                <w:sz w:val="24"/>
                <w:szCs w:val="24"/>
                <w:highlight w:val="none"/>
                <w:lang w:val="en-US" w:eastAsia="zh-CN" w:bidi="ar-SA"/>
              </w:rPr>
              <w:t>6</w:t>
            </w:r>
            <w:r>
              <w:rPr>
                <w:rFonts w:hint="eastAsia" w:ascii="宋体" w:hAnsi="宋体"/>
                <w:kern w:val="2"/>
                <w:sz w:val="24"/>
                <w:szCs w:val="24"/>
                <w:highlight w:val="none"/>
                <w:lang w:val="zh-TW" w:eastAsia="zh-CN" w:bidi="ar-SA"/>
              </w:rPr>
              <w:t>分）：</w:t>
            </w:r>
          </w:p>
          <w:p w14:paraId="0DEC4566">
            <w:pPr>
              <w:spacing w:line="420" w:lineRule="exact"/>
              <w:jc w:val="left"/>
              <w:rPr>
                <w:rFonts w:hint="default" w:ascii="宋体" w:hAnsi="宋体"/>
                <w:kern w:val="2"/>
                <w:sz w:val="24"/>
                <w:szCs w:val="24"/>
                <w:highlight w:val="none"/>
                <w:lang w:val="en-US" w:eastAsia="zh-CN" w:bidi="ar-SA"/>
              </w:rPr>
            </w:pPr>
            <w:r>
              <w:rPr>
                <w:rFonts w:hint="eastAsia" w:ascii="宋体" w:hAnsi="宋体"/>
                <w:kern w:val="2"/>
                <w:sz w:val="24"/>
                <w:szCs w:val="24"/>
                <w:highlight w:val="none"/>
                <w:lang w:val="en-US" w:eastAsia="zh-CN" w:bidi="ar-SA"/>
              </w:rPr>
              <w:t>1.</w:t>
            </w:r>
            <w:r>
              <w:rPr>
                <w:rFonts w:hint="eastAsia" w:ascii="宋体" w:hAnsi="宋体"/>
                <w:kern w:val="2"/>
                <w:sz w:val="24"/>
                <w:szCs w:val="24"/>
                <w:highlight w:val="none"/>
                <w:lang w:val="zh-TW" w:eastAsia="zh-CN" w:bidi="ar-SA"/>
              </w:rPr>
              <w:t>实施计划全面合理可行且针对性、可操作性强的得</w:t>
            </w:r>
            <w:r>
              <w:rPr>
                <w:rFonts w:hint="eastAsia" w:ascii="宋体" w:hAnsi="宋体"/>
                <w:kern w:val="2"/>
                <w:sz w:val="24"/>
                <w:szCs w:val="24"/>
                <w:highlight w:val="none"/>
                <w:lang w:val="en-US" w:eastAsia="zh-CN" w:bidi="ar-SA"/>
              </w:rPr>
              <w:t>6</w:t>
            </w:r>
            <w:r>
              <w:rPr>
                <w:rFonts w:hint="eastAsia" w:ascii="宋体" w:hAnsi="宋体"/>
                <w:kern w:val="2"/>
                <w:sz w:val="24"/>
                <w:szCs w:val="24"/>
                <w:highlight w:val="none"/>
                <w:lang w:val="zh-TW" w:eastAsia="zh-CN" w:bidi="ar-SA"/>
              </w:rPr>
              <w:t>分；</w:t>
            </w:r>
          </w:p>
          <w:p w14:paraId="610F2839">
            <w:pPr>
              <w:spacing w:line="420" w:lineRule="exact"/>
              <w:jc w:val="left"/>
              <w:rPr>
                <w:rFonts w:hint="default" w:ascii="宋体" w:hAnsi="宋体"/>
                <w:kern w:val="2"/>
                <w:sz w:val="24"/>
                <w:szCs w:val="24"/>
                <w:highlight w:val="none"/>
                <w:lang w:val="en-US" w:eastAsia="zh-CN" w:bidi="ar-SA"/>
              </w:rPr>
            </w:pPr>
            <w:r>
              <w:rPr>
                <w:rFonts w:hint="eastAsia" w:ascii="宋体" w:hAnsi="宋体"/>
                <w:kern w:val="2"/>
                <w:sz w:val="24"/>
                <w:szCs w:val="24"/>
                <w:highlight w:val="none"/>
                <w:lang w:val="en-US" w:eastAsia="zh-CN" w:bidi="ar-SA"/>
              </w:rPr>
              <w:t>2.</w:t>
            </w:r>
            <w:r>
              <w:rPr>
                <w:rFonts w:hint="eastAsia" w:ascii="宋体" w:hAnsi="宋体"/>
                <w:kern w:val="2"/>
                <w:sz w:val="24"/>
                <w:szCs w:val="24"/>
                <w:highlight w:val="none"/>
                <w:lang w:val="zh-TW" w:eastAsia="zh-CN" w:bidi="ar-SA"/>
              </w:rPr>
              <w:t>实施计划全面且合理、可行得</w:t>
            </w:r>
            <w:r>
              <w:rPr>
                <w:rFonts w:hint="eastAsia" w:ascii="宋体" w:hAnsi="宋体"/>
                <w:kern w:val="2"/>
                <w:sz w:val="24"/>
                <w:szCs w:val="24"/>
                <w:highlight w:val="none"/>
                <w:lang w:val="en-US" w:eastAsia="zh-CN" w:bidi="ar-SA"/>
              </w:rPr>
              <w:t>4</w:t>
            </w:r>
            <w:r>
              <w:rPr>
                <w:rFonts w:hint="eastAsia" w:ascii="宋体" w:hAnsi="宋体"/>
                <w:kern w:val="2"/>
                <w:sz w:val="24"/>
                <w:szCs w:val="24"/>
                <w:highlight w:val="none"/>
                <w:lang w:val="zh-TW" w:eastAsia="zh-CN" w:bidi="ar-SA"/>
              </w:rPr>
              <w:t>分；</w:t>
            </w:r>
          </w:p>
          <w:p w14:paraId="049A3400">
            <w:pPr>
              <w:spacing w:line="420" w:lineRule="exact"/>
              <w:jc w:val="left"/>
              <w:rPr>
                <w:rFonts w:hint="default" w:ascii="宋体" w:hAnsi="宋体"/>
                <w:kern w:val="2"/>
                <w:sz w:val="24"/>
                <w:szCs w:val="24"/>
                <w:highlight w:val="none"/>
                <w:lang w:val="en-US" w:eastAsia="zh-CN" w:bidi="ar-SA"/>
              </w:rPr>
            </w:pPr>
            <w:r>
              <w:rPr>
                <w:rFonts w:hint="eastAsia" w:ascii="宋体" w:hAnsi="宋体"/>
                <w:kern w:val="2"/>
                <w:sz w:val="24"/>
                <w:szCs w:val="24"/>
                <w:highlight w:val="none"/>
                <w:lang w:val="en-US" w:eastAsia="zh-CN" w:bidi="ar-SA"/>
              </w:rPr>
              <w:t>3.</w:t>
            </w:r>
            <w:r>
              <w:rPr>
                <w:rFonts w:hint="eastAsia" w:ascii="宋体" w:hAnsi="宋体"/>
                <w:kern w:val="2"/>
                <w:sz w:val="24"/>
                <w:szCs w:val="24"/>
                <w:highlight w:val="none"/>
                <w:lang w:val="zh-TW" w:eastAsia="zh-CN" w:bidi="ar-SA"/>
              </w:rPr>
              <w:t>实施计划的内容全面，无遗漏得2分；</w:t>
            </w:r>
          </w:p>
          <w:p w14:paraId="48F13303">
            <w:pPr>
              <w:spacing w:line="420" w:lineRule="exact"/>
              <w:jc w:val="left"/>
              <w:rPr>
                <w:rFonts w:hint="eastAsia" w:ascii="宋体" w:hAnsi="宋体"/>
                <w:kern w:val="2"/>
                <w:sz w:val="24"/>
                <w:szCs w:val="24"/>
                <w:highlight w:val="none"/>
                <w:lang w:val="zh-TW" w:eastAsia="zh-CN" w:bidi="ar-SA"/>
              </w:rPr>
            </w:pPr>
            <w:r>
              <w:rPr>
                <w:rFonts w:hint="eastAsia" w:ascii="宋体" w:hAnsi="宋体"/>
                <w:kern w:val="2"/>
                <w:sz w:val="24"/>
                <w:szCs w:val="24"/>
                <w:highlight w:val="none"/>
                <w:lang w:val="en-US" w:eastAsia="zh-CN" w:bidi="ar-SA"/>
              </w:rPr>
              <w:t>4.</w:t>
            </w:r>
            <w:r>
              <w:rPr>
                <w:rFonts w:hint="eastAsia" w:ascii="宋体" w:hAnsi="宋体"/>
                <w:kern w:val="2"/>
                <w:sz w:val="24"/>
                <w:szCs w:val="24"/>
                <w:highlight w:val="none"/>
                <w:lang w:val="zh-TW" w:eastAsia="zh-CN" w:bidi="ar-SA"/>
              </w:rPr>
              <w:t>针对该项目制定实施计划（至少包括工作进度、维修方案）的得1分；</w:t>
            </w:r>
          </w:p>
          <w:p w14:paraId="0DD9E3CB">
            <w:pPr>
              <w:spacing w:line="420" w:lineRule="exact"/>
              <w:jc w:val="left"/>
              <w:rPr>
                <w:rFonts w:hint="eastAsia" w:ascii="宋体" w:hAnsi="宋体" w:eastAsia="宋体" w:cs="宋体"/>
                <w:kern w:val="2"/>
                <w:sz w:val="24"/>
                <w:szCs w:val="24"/>
                <w:highlight w:val="none"/>
                <w:lang w:val="en-US" w:eastAsia="zh-CN" w:bidi="ar-SA"/>
              </w:rPr>
            </w:pPr>
            <w:r>
              <w:rPr>
                <w:rFonts w:hint="eastAsia" w:ascii="宋体" w:hAnsi="宋体"/>
                <w:kern w:val="2"/>
                <w:sz w:val="24"/>
                <w:szCs w:val="24"/>
                <w:highlight w:val="none"/>
                <w:lang w:val="en-US" w:eastAsia="zh-CN" w:bidi="ar-SA"/>
              </w:rPr>
              <w:t>5.缺项不得分。</w:t>
            </w:r>
          </w:p>
        </w:tc>
      </w:tr>
      <w:tr w14:paraId="0833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935" w:type="dxa"/>
            <w:vMerge w:val="continue"/>
            <w:tcMar>
              <w:left w:w="57" w:type="dxa"/>
              <w:right w:w="57" w:type="dxa"/>
            </w:tcMar>
            <w:vAlign w:val="center"/>
          </w:tcPr>
          <w:p w14:paraId="657DC141">
            <w:pPr>
              <w:pStyle w:val="20"/>
              <w:pageBreakBefore w:val="0"/>
              <w:kinsoku/>
              <w:overflowPunct/>
              <w:topLinePunct w:val="0"/>
              <w:bidi w:val="0"/>
              <w:spacing w:before="0" w:beforeAutospacing="0" w:after="0" w:afterAutospacing="0" w:line="360" w:lineRule="auto"/>
              <w:jc w:val="center"/>
              <w:outlineLvl w:val="9"/>
              <w:rPr>
                <w:rFonts w:hint="default"/>
                <w:highlight w:val="none"/>
              </w:rPr>
            </w:pPr>
          </w:p>
        </w:tc>
        <w:tc>
          <w:tcPr>
            <w:tcW w:w="1276" w:type="dxa"/>
            <w:vMerge w:val="continue"/>
            <w:tcMar>
              <w:left w:w="57" w:type="dxa"/>
              <w:right w:w="57" w:type="dxa"/>
            </w:tcMar>
            <w:vAlign w:val="center"/>
          </w:tcPr>
          <w:p w14:paraId="19E75A6E">
            <w:pPr>
              <w:pStyle w:val="20"/>
              <w:pageBreakBefore w:val="0"/>
              <w:kinsoku/>
              <w:overflowPunct/>
              <w:topLinePunct w:val="0"/>
              <w:bidi w:val="0"/>
              <w:spacing w:before="0" w:beforeAutospacing="0" w:after="0" w:afterAutospacing="0" w:line="360" w:lineRule="auto"/>
              <w:jc w:val="center"/>
              <w:outlineLvl w:val="9"/>
              <w:rPr>
                <w:rFonts w:hint="default"/>
                <w:highlight w:val="none"/>
              </w:rPr>
            </w:pPr>
          </w:p>
        </w:tc>
        <w:tc>
          <w:tcPr>
            <w:tcW w:w="1938" w:type="dxa"/>
            <w:vMerge w:val="continue"/>
            <w:shd w:val="clear" w:color="auto" w:fill="auto"/>
            <w:tcMar>
              <w:left w:w="57" w:type="dxa"/>
              <w:right w:w="57" w:type="dxa"/>
            </w:tcMar>
            <w:vAlign w:val="center"/>
          </w:tcPr>
          <w:p w14:paraId="7DE48516">
            <w:pPr>
              <w:pageBreakBefore w:val="0"/>
              <w:kinsoku/>
              <w:overflowPunct/>
              <w:topLinePunct w:val="0"/>
              <w:bidi w:val="0"/>
              <w:spacing w:line="360" w:lineRule="auto"/>
              <w:jc w:val="center"/>
              <w:outlineLvl w:val="9"/>
              <w:rPr>
                <w:rFonts w:asciiTheme="minorHAnsi" w:hAnsiTheme="minorHAnsi" w:eastAsiaTheme="minorEastAsia" w:cstheme="minorBidi"/>
                <w:kern w:val="2"/>
                <w:sz w:val="21"/>
                <w:szCs w:val="22"/>
                <w:highlight w:val="none"/>
                <w:lang w:val="en-US" w:eastAsia="zh-CN" w:bidi="ar-SA"/>
              </w:rPr>
            </w:pPr>
          </w:p>
        </w:tc>
        <w:tc>
          <w:tcPr>
            <w:tcW w:w="5677" w:type="dxa"/>
            <w:shd w:val="clear" w:color="auto" w:fill="auto"/>
            <w:tcMar>
              <w:left w:w="57" w:type="dxa"/>
              <w:right w:w="57" w:type="dxa"/>
            </w:tcMar>
            <w:vAlign w:val="center"/>
          </w:tcPr>
          <w:p w14:paraId="681DBA8B">
            <w:pPr>
              <w:spacing w:line="42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包装、运输制度（6分）： </w:t>
            </w:r>
          </w:p>
          <w:p w14:paraId="6DA7AD74">
            <w:pPr>
              <w:numPr>
                <w:ilvl w:val="0"/>
                <w:numId w:val="0"/>
              </w:numPr>
              <w:spacing w:line="420" w:lineRule="exact"/>
              <w:jc w:val="left"/>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1.</w:t>
            </w:r>
            <w:r>
              <w:rPr>
                <w:rFonts w:hint="eastAsia" w:ascii="宋体" w:hAnsi="宋体" w:eastAsia="宋体" w:cs="宋体"/>
                <w:sz w:val="24"/>
                <w:szCs w:val="24"/>
                <w:highlight w:val="none"/>
                <w:lang w:val="en-US" w:eastAsia="zh-CN"/>
              </w:rPr>
              <w:t>包装、运输制度内容全面、合理、科学且可行、高效得6分；</w:t>
            </w:r>
          </w:p>
          <w:p w14:paraId="5BB44E76">
            <w:pPr>
              <w:numPr>
                <w:ilvl w:val="0"/>
                <w:numId w:val="0"/>
              </w:numPr>
              <w:spacing w:line="42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2.包装、运输制度内容全面且合理、可行得4分；</w:t>
            </w:r>
          </w:p>
          <w:p w14:paraId="7F4432D0">
            <w:pPr>
              <w:numPr>
                <w:ilvl w:val="0"/>
                <w:numId w:val="0"/>
              </w:numPr>
              <w:spacing w:line="42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3.包装、运输制度内容全面，无遗漏得2分；</w:t>
            </w:r>
          </w:p>
          <w:p w14:paraId="72492010">
            <w:pPr>
              <w:numPr>
                <w:ilvl w:val="0"/>
                <w:numId w:val="0"/>
              </w:numPr>
              <w:spacing w:line="42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4.供应商提供相应的包装、运输制度的得1分；</w:t>
            </w:r>
          </w:p>
          <w:p w14:paraId="38A904A7">
            <w:pPr>
              <w:numPr>
                <w:ilvl w:val="0"/>
                <w:numId w:val="0"/>
              </w:numPr>
              <w:spacing w:line="420" w:lineRule="exact"/>
              <w:ind w:left="0" w:leftChars="0"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5.缺项不得分。</w:t>
            </w:r>
          </w:p>
        </w:tc>
      </w:tr>
      <w:tr w14:paraId="7AEE5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935" w:type="dxa"/>
            <w:vMerge w:val="continue"/>
            <w:tcMar>
              <w:left w:w="57" w:type="dxa"/>
              <w:right w:w="57" w:type="dxa"/>
            </w:tcMar>
            <w:vAlign w:val="center"/>
          </w:tcPr>
          <w:p w14:paraId="1453358C">
            <w:pPr>
              <w:pStyle w:val="20"/>
              <w:pageBreakBefore w:val="0"/>
              <w:kinsoku/>
              <w:overflowPunct/>
              <w:topLinePunct w:val="0"/>
              <w:bidi w:val="0"/>
              <w:spacing w:before="0" w:beforeAutospacing="0" w:after="0" w:afterAutospacing="0" w:line="360" w:lineRule="auto"/>
              <w:jc w:val="center"/>
              <w:outlineLvl w:val="9"/>
              <w:rPr>
                <w:rFonts w:hint="default"/>
                <w:highlight w:val="none"/>
              </w:rPr>
            </w:pPr>
          </w:p>
        </w:tc>
        <w:tc>
          <w:tcPr>
            <w:tcW w:w="1276" w:type="dxa"/>
            <w:vMerge w:val="continue"/>
            <w:tcMar>
              <w:left w:w="57" w:type="dxa"/>
              <w:right w:w="57" w:type="dxa"/>
            </w:tcMar>
            <w:vAlign w:val="center"/>
          </w:tcPr>
          <w:p w14:paraId="02D55DB4">
            <w:pPr>
              <w:pStyle w:val="20"/>
              <w:pageBreakBefore w:val="0"/>
              <w:kinsoku/>
              <w:overflowPunct/>
              <w:topLinePunct w:val="0"/>
              <w:bidi w:val="0"/>
              <w:spacing w:before="0" w:beforeAutospacing="0" w:after="0" w:afterAutospacing="0" w:line="360" w:lineRule="auto"/>
              <w:jc w:val="center"/>
              <w:outlineLvl w:val="9"/>
              <w:rPr>
                <w:rFonts w:hint="default"/>
                <w:highlight w:val="none"/>
              </w:rPr>
            </w:pPr>
          </w:p>
        </w:tc>
        <w:tc>
          <w:tcPr>
            <w:tcW w:w="1938" w:type="dxa"/>
            <w:vMerge w:val="continue"/>
            <w:shd w:val="clear" w:color="auto" w:fill="auto"/>
            <w:tcMar>
              <w:left w:w="57" w:type="dxa"/>
              <w:right w:w="57" w:type="dxa"/>
            </w:tcMar>
            <w:vAlign w:val="center"/>
          </w:tcPr>
          <w:p w14:paraId="2B2391F8">
            <w:pPr>
              <w:pageBreakBefore w:val="0"/>
              <w:kinsoku/>
              <w:overflowPunct/>
              <w:topLinePunct w:val="0"/>
              <w:bidi w:val="0"/>
              <w:spacing w:line="360" w:lineRule="auto"/>
              <w:jc w:val="center"/>
              <w:outlineLvl w:val="9"/>
              <w:rPr>
                <w:rFonts w:ascii="宋体" w:hAnsi="宋体" w:cs="宋体" w:eastAsiaTheme="minorEastAsia"/>
                <w:kern w:val="2"/>
                <w:sz w:val="24"/>
                <w:szCs w:val="24"/>
                <w:highlight w:val="none"/>
                <w:lang w:val="en-US" w:eastAsia="zh-CN" w:bidi="ar-SA"/>
              </w:rPr>
            </w:pPr>
          </w:p>
        </w:tc>
        <w:tc>
          <w:tcPr>
            <w:tcW w:w="5677" w:type="dxa"/>
            <w:shd w:val="clear" w:color="auto" w:fill="auto"/>
            <w:tcMar>
              <w:left w:w="57" w:type="dxa"/>
              <w:right w:w="57" w:type="dxa"/>
            </w:tcMar>
            <w:vAlign w:val="center"/>
          </w:tcPr>
          <w:p w14:paraId="02F41E3A">
            <w:pPr>
              <w:spacing w:line="420" w:lineRule="exact"/>
              <w:jc w:val="left"/>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进度保证措施（</w:t>
            </w:r>
            <w:r>
              <w:rPr>
                <w:rFonts w:hint="eastAsia" w:ascii="宋体" w:hAnsi="宋体" w:eastAsia="宋体" w:cs="宋体"/>
                <w:sz w:val="24"/>
                <w:szCs w:val="24"/>
                <w:highlight w:val="none"/>
                <w:lang w:val="en-US" w:eastAsia="zh-CN"/>
              </w:rPr>
              <w:t>6</w:t>
            </w:r>
            <w:r>
              <w:rPr>
                <w:rFonts w:hint="default" w:ascii="宋体" w:hAnsi="宋体" w:eastAsia="宋体" w:cs="宋体"/>
                <w:sz w:val="24"/>
                <w:szCs w:val="24"/>
                <w:highlight w:val="none"/>
                <w:lang w:val="en-US" w:eastAsia="zh-CN"/>
              </w:rPr>
              <w:t xml:space="preserve">分）： </w:t>
            </w:r>
          </w:p>
          <w:p w14:paraId="3600FC38">
            <w:pPr>
              <w:numPr>
                <w:ilvl w:val="0"/>
                <w:numId w:val="0"/>
              </w:numPr>
              <w:spacing w:line="420" w:lineRule="exact"/>
              <w:jc w:val="left"/>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1.</w:t>
            </w:r>
            <w:r>
              <w:rPr>
                <w:rFonts w:hint="eastAsia" w:ascii="宋体" w:hAnsi="宋体" w:eastAsia="宋体" w:cs="宋体"/>
                <w:sz w:val="24"/>
                <w:szCs w:val="24"/>
                <w:highlight w:val="none"/>
                <w:lang w:val="en-US" w:eastAsia="zh-CN"/>
              </w:rPr>
              <w:t>进度保证措施内容全面、合理、可行且实用性强得6分；</w:t>
            </w:r>
          </w:p>
          <w:p w14:paraId="614FF1BD">
            <w:pPr>
              <w:numPr>
                <w:ilvl w:val="0"/>
                <w:numId w:val="0"/>
              </w:numPr>
              <w:spacing w:line="42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default" w:ascii="宋体" w:hAnsi="宋体" w:eastAsia="宋体" w:cs="宋体"/>
                <w:sz w:val="24"/>
                <w:szCs w:val="24"/>
                <w:highlight w:val="none"/>
                <w:lang w:val="en-US" w:eastAsia="zh-CN"/>
              </w:rPr>
              <w:t>进度保证措施内容全面且合理、可行得</w:t>
            </w:r>
            <w:r>
              <w:rPr>
                <w:rFonts w:hint="eastAsia" w:ascii="宋体" w:hAnsi="宋体" w:eastAsia="宋体" w:cs="宋体"/>
                <w:sz w:val="24"/>
                <w:szCs w:val="24"/>
                <w:highlight w:val="none"/>
                <w:lang w:val="en-US" w:eastAsia="zh-CN"/>
              </w:rPr>
              <w:t>4</w:t>
            </w:r>
            <w:r>
              <w:rPr>
                <w:rFonts w:hint="default" w:ascii="宋体" w:hAnsi="宋体" w:eastAsia="宋体" w:cs="宋体"/>
                <w:sz w:val="24"/>
                <w:szCs w:val="24"/>
                <w:highlight w:val="none"/>
                <w:lang w:val="en-US" w:eastAsia="zh-CN"/>
              </w:rPr>
              <w:t>分</w:t>
            </w:r>
            <w:r>
              <w:rPr>
                <w:rFonts w:hint="eastAsia" w:ascii="宋体" w:hAnsi="宋体" w:eastAsia="宋体" w:cs="宋体"/>
                <w:sz w:val="24"/>
                <w:szCs w:val="24"/>
                <w:highlight w:val="none"/>
                <w:lang w:val="en-US" w:eastAsia="zh-CN"/>
              </w:rPr>
              <w:t>；</w:t>
            </w:r>
          </w:p>
          <w:p w14:paraId="64D87E32">
            <w:pPr>
              <w:numPr>
                <w:ilvl w:val="0"/>
                <w:numId w:val="0"/>
              </w:numPr>
              <w:spacing w:line="420" w:lineRule="exact"/>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3.进度保证措施内容全面、无遗漏得2分；</w:t>
            </w:r>
          </w:p>
          <w:p w14:paraId="53614C64">
            <w:pPr>
              <w:spacing w:line="42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default" w:ascii="宋体" w:hAnsi="宋体" w:eastAsia="宋体" w:cs="宋体"/>
                <w:sz w:val="24"/>
                <w:szCs w:val="24"/>
                <w:highlight w:val="none"/>
                <w:lang w:val="en-US" w:eastAsia="zh-CN"/>
              </w:rPr>
              <w:t>提供进度保证措施（</w:t>
            </w:r>
            <w:r>
              <w:rPr>
                <w:rFonts w:hint="eastAsia" w:ascii="宋体" w:hAnsi="宋体" w:eastAsia="宋体" w:cs="宋体"/>
                <w:sz w:val="24"/>
                <w:szCs w:val="24"/>
                <w:highlight w:val="none"/>
                <w:lang w:val="en-US" w:eastAsia="zh-CN"/>
              </w:rPr>
              <w:t>至少</w:t>
            </w:r>
            <w:r>
              <w:rPr>
                <w:rFonts w:hint="default" w:ascii="宋体" w:hAnsi="宋体" w:eastAsia="宋体" w:cs="宋体"/>
                <w:sz w:val="24"/>
                <w:szCs w:val="24"/>
                <w:highlight w:val="none"/>
                <w:lang w:val="en-US" w:eastAsia="zh-CN"/>
              </w:rPr>
              <w:t>包括货源保证、运送计划、调试等）的得1分</w:t>
            </w:r>
            <w:r>
              <w:rPr>
                <w:rFonts w:hint="eastAsia" w:ascii="宋体" w:hAnsi="宋体" w:eastAsia="宋体" w:cs="宋体"/>
                <w:sz w:val="24"/>
                <w:szCs w:val="24"/>
                <w:highlight w:val="none"/>
                <w:lang w:val="en-US" w:eastAsia="zh-CN"/>
              </w:rPr>
              <w:t>；</w:t>
            </w:r>
          </w:p>
          <w:p w14:paraId="28BD8E63">
            <w:pPr>
              <w:spacing w:line="42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5.缺项不得分。</w:t>
            </w:r>
          </w:p>
        </w:tc>
      </w:tr>
      <w:tr w14:paraId="17584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935" w:type="dxa"/>
            <w:vMerge w:val="continue"/>
            <w:tcMar>
              <w:left w:w="57" w:type="dxa"/>
              <w:right w:w="57" w:type="dxa"/>
            </w:tcMar>
            <w:vAlign w:val="center"/>
          </w:tcPr>
          <w:p w14:paraId="281C9557">
            <w:pPr>
              <w:pStyle w:val="20"/>
              <w:pageBreakBefore w:val="0"/>
              <w:kinsoku/>
              <w:overflowPunct/>
              <w:topLinePunct w:val="0"/>
              <w:bidi w:val="0"/>
              <w:spacing w:before="0" w:beforeAutospacing="0" w:after="0" w:afterAutospacing="0" w:line="360" w:lineRule="auto"/>
              <w:jc w:val="center"/>
              <w:outlineLvl w:val="9"/>
              <w:rPr>
                <w:rFonts w:hint="default"/>
                <w:highlight w:val="none"/>
              </w:rPr>
            </w:pPr>
          </w:p>
        </w:tc>
        <w:tc>
          <w:tcPr>
            <w:tcW w:w="1276" w:type="dxa"/>
            <w:vMerge w:val="continue"/>
            <w:tcMar>
              <w:left w:w="57" w:type="dxa"/>
              <w:right w:w="57" w:type="dxa"/>
            </w:tcMar>
            <w:vAlign w:val="center"/>
          </w:tcPr>
          <w:p w14:paraId="2FDD865F">
            <w:pPr>
              <w:pStyle w:val="20"/>
              <w:pageBreakBefore w:val="0"/>
              <w:kinsoku/>
              <w:overflowPunct/>
              <w:topLinePunct w:val="0"/>
              <w:bidi w:val="0"/>
              <w:spacing w:before="0" w:beforeAutospacing="0" w:after="0" w:afterAutospacing="0" w:line="360" w:lineRule="auto"/>
              <w:jc w:val="center"/>
              <w:outlineLvl w:val="9"/>
              <w:rPr>
                <w:rFonts w:hint="default"/>
                <w:highlight w:val="none"/>
              </w:rPr>
            </w:pPr>
          </w:p>
        </w:tc>
        <w:tc>
          <w:tcPr>
            <w:tcW w:w="1938" w:type="dxa"/>
            <w:vMerge w:val="continue"/>
            <w:tcMar>
              <w:left w:w="57" w:type="dxa"/>
              <w:right w:w="57" w:type="dxa"/>
            </w:tcMar>
            <w:vAlign w:val="center"/>
          </w:tcPr>
          <w:p w14:paraId="7915C69E">
            <w:pPr>
              <w:pageBreakBefore w:val="0"/>
              <w:kinsoku/>
              <w:overflowPunct/>
              <w:topLinePunct w:val="0"/>
              <w:bidi w:val="0"/>
              <w:spacing w:line="360" w:lineRule="auto"/>
              <w:jc w:val="center"/>
              <w:outlineLvl w:val="9"/>
              <w:rPr>
                <w:rFonts w:ascii="宋体" w:hAnsi="宋体" w:cs="宋体"/>
                <w:sz w:val="24"/>
                <w:szCs w:val="24"/>
                <w:highlight w:val="none"/>
              </w:rPr>
            </w:pPr>
          </w:p>
        </w:tc>
        <w:tc>
          <w:tcPr>
            <w:tcW w:w="5677" w:type="dxa"/>
            <w:tcMar>
              <w:left w:w="57" w:type="dxa"/>
              <w:right w:w="57" w:type="dxa"/>
            </w:tcMar>
            <w:vAlign w:val="center"/>
          </w:tcPr>
          <w:p w14:paraId="7D4A23A2">
            <w:pPr>
              <w:numPr>
                <w:ilvl w:val="0"/>
                <w:numId w:val="0"/>
              </w:numPr>
              <w:spacing w:line="420" w:lineRule="exact"/>
              <w:jc w:val="left"/>
              <w:rPr>
                <w:rFonts w:hint="eastAsia" w:ascii="宋体" w:hAnsi="宋体" w:cs="宋体"/>
                <w:sz w:val="24"/>
                <w:szCs w:val="24"/>
                <w:highlight w:val="none"/>
              </w:rPr>
            </w:pPr>
            <w:r>
              <w:rPr>
                <w:rFonts w:hint="eastAsia" w:ascii="宋体" w:hAnsi="宋体" w:cs="宋体"/>
                <w:sz w:val="24"/>
                <w:szCs w:val="24"/>
                <w:highlight w:val="none"/>
                <w:lang w:val="en-US" w:eastAsia="zh-CN"/>
              </w:rPr>
              <w:t xml:space="preserve">质量保证措施（6分）： </w:t>
            </w:r>
          </w:p>
          <w:p w14:paraId="43252737">
            <w:pPr>
              <w:numPr>
                <w:ilvl w:val="0"/>
                <w:numId w:val="0"/>
              </w:numPr>
              <w:spacing w:line="420" w:lineRule="exact"/>
              <w:jc w:val="left"/>
              <w:rPr>
                <w:rFonts w:hint="eastAsia" w:ascii="宋体" w:hAnsi="宋体" w:cs="宋体"/>
                <w:sz w:val="24"/>
                <w:szCs w:val="24"/>
                <w:highlight w:val="none"/>
                <w:lang w:val="en-US" w:eastAsia="zh-CN"/>
              </w:rPr>
            </w:pPr>
            <w:r>
              <w:rPr>
                <w:rFonts w:hint="eastAsia" w:ascii="宋体" w:hAnsi="宋体" w:cs="宋体"/>
                <w:kern w:val="2"/>
                <w:sz w:val="24"/>
                <w:szCs w:val="24"/>
                <w:highlight w:val="none"/>
                <w:lang w:val="en-US" w:eastAsia="zh-CN" w:bidi="ar-SA"/>
              </w:rPr>
              <w:t>1.</w:t>
            </w:r>
            <w:r>
              <w:rPr>
                <w:rFonts w:hint="eastAsia" w:ascii="宋体" w:hAnsi="宋体" w:cs="宋体"/>
                <w:sz w:val="24"/>
                <w:szCs w:val="24"/>
                <w:highlight w:val="none"/>
                <w:lang w:val="en-US" w:eastAsia="zh-CN"/>
              </w:rPr>
              <w:t>质量保证措施详尽、合理、可行且实用性强得6分；</w:t>
            </w:r>
          </w:p>
          <w:p w14:paraId="56B5A74C">
            <w:pPr>
              <w:numPr>
                <w:ilvl w:val="0"/>
                <w:numId w:val="0"/>
              </w:numPr>
              <w:spacing w:line="420" w:lineRule="exact"/>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2.质量保证措施内容详尽且合理、可行得4分；</w:t>
            </w:r>
          </w:p>
          <w:p w14:paraId="1858F5CA">
            <w:pPr>
              <w:numPr>
                <w:ilvl w:val="0"/>
                <w:numId w:val="0"/>
              </w:numPr>
              <w:spacing w:line="420" w:lineRule="exact"/>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3.质量保证措施内容详尽得2分；</w:t>
            </w:r>
          </w:p>
          <w:p w14:paraId="55FDA17B">
            <w:pPr>
              <w:numPr>
                <w:ilvl w:val="0"/>
                <w:numId w:val="0"/>
              </w:numPr>
              <w:spacing w:line="420" w:lineRule="exact"/>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4.提供质量保证措施的得1分；</w:t>
            </w:r>
          </w:p>
          <w:p w14:paraId="393BC0E7">
            <w:pPr>
              <w:numPr>
                <w:ilvl w:val="0"/>
                <w:numId w:val="0"/>
              </w:numPr>
              <w:spacing w:line="420" w:lineRule="exact"/>
              <w:ind w:left="0" w:leftChars="0" w:firstLine="0" w:firstLineChars="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5.缺项不得分。</w:t>
            </w:r>
          </w:p>
        </w:tc>
      </w:tr>
      <w:tr w14:paraId="0712D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jc w:val="center"/>
        </w:trPr>
        <w:tc>
          <w:tcPr>
            <w:tcW w:w="935" w:type="dxa"/>
            <w:vMerge w:val="continue"/>
            <w:tcMar>
              <w:left w:w="57" w:type="dxa"/>
              <w:right w:w="57" w:type="dxa"/>
            </w:tcMar>
            <w:vAlign w:val="center"/>
          </w:tcPr>
          <w:p w14:paraId="09B9BE42">
            <w:pPr>
              <w:pStyle w:val="20"/>
              <w:pageBreakBefore w:val="0"/>
              <w:kinsoku/>
              <w:overflowPunct/>
              <w:topLinePunct w:val="0"/>
              <w:bidi w:val="0"/>
              <w:spacing w:before="0" w:beforeAutospacing="0" w:after="0" w:afterAutospacing="0" w:line="360" w:lineRule="auto"/>
              <w:jc w:val="center"/>
              <w:outlineLvl w:val="9"/>
              <w:rPr>
                <w:rFonts w:hint="default"/>
                <w:highlight w:val="none"/>
              </w:rPr>
            </w:pPr>
          </w:p>
        </w:tc>
        <w:tc>
          <w:tcPr>
            <w:tcW w:w="1276" w:type="dxa"/>
            <w:vMerge w:val="continue"/>
            <w:tcMar>
              <w:left w:w="57" w:type="dxa"/>
              <w:right w:w="57" w:type="dxa"/>
            </w:tcMar>
            <w:vAlign w:val="center"/>
          </w:tcPr>
          <w:p w14:paraId="7AB34B44">
            <w:pPr>
              <w:pStyle w:val="20"/>
              <w:pageBreakBefore w:val="0"/>
              <w:kinsoku/>
              <w:overflowPunct/>
              <w:topLinePunct w:val="0"/>
              <w:bidi w:val="0"/>
              <w:spacing w:before="0" w:beforeAutospacing="0" w:after="0" w:afterAutospacing="0" w:line="360" w:lineRule="auto"/>
              <w:jc w:val="center"/>
              <w:outlineLvl w:val="9"/>
              <w:rPr>
                <w:rFonts w:hint="default"/>
                <w:highlight w:val="none"/>
              </w:rPr>
            </w:pPr>
          </w:p>
        </w:tc>
        <w:tc>
          <w:tcPr>
            <w:tcW w:w="1938" w:type="dxa"/>
            <w:vMerge w:val="continue"/>
            <w:shd w:val="clear" w:color="auto" w:fill="auto"/>
            <w:tcMar>
              <w:left w:w="57" w:type="dxa"/>
              <w:right w:w="57" w:type="dxa"/>
            </w:tcMar>
            <w:vAlign w:val="center"/>
          </w:tcPr>
          <w:p w14:paraId="31788283">
            <w:pPr>
              <w:pageBreakBefore w:val="0"/>
              <w:kinsoku/>
              <w:overflowPunct/>
              <w:topLinePunct w:val="0"/>
              <w:bidi w:val="0"/>
              <w:spacing w:line="360" w:lineRule="auto"/>
              <w:jc w:val="center"/>
              <w:outlineLvl w:val="9"/>
              <w:rPr>
                <w:rFonts w:hint="eastAsia" w:ascii="宋体" w:hAnsi="宋体" w:eastAsia="宋体" w:cs="宋体"/>
                <w:kern w:val="2"/>
                <w:sz w:val="24"/>
                <w:szCs w:val="24"/>
                <w:highlight w:val="none"/>
                <w:lang w:val="en-US" w:eastAsia="zh-CN" w:bidi="ar-SA"/>
              </w:rPr>
            </w:pPr>
          </w:p>
        </w:tc>
        <w:tc>
          <w:tcPr>
            <w:tcW w:w="5677" w:type="dxa"/>
            <w:shd w:val="clear" w:color="auto" w:fill="auto"/>
            <w:tcMar>
              <w:left w:w="57" w:type="dxa"/>
              <w:right w:w="57" w:type="dxa"/>
            </w:tcMar>
            <w:vAlign w:val="center"/>
          </w:tcPr>
          <w:p w14:paraId="0DB3B0F7">
            <w:pPr>
              <w:numPr>
                <w:ilvl w:val="0"/>
                <w:numId w:val="0"/>
              </w:numPr>
              <w:spacing w:line="420" w:lineRule="exact"/>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 xml:space="preserve">应急保障方案（6分）： </w:t>
            </w:r>
          </w:p>
          <w:p w14:paraId="04E931C3">
            <w:pPr>
              <w:numPr>
                <w:ilvl w:val="0"/>
                <w:numId w:val="0"/>
              </w:numPr>
              <w:spacing w:line="420" w:lineRule="exact"/>
              <w:jc w:val="left"/>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1.保障方案详实、措施得当合理可行且有应对突发事件应急能力等方面内容得6分；</w:t>
            </w:r>
          </w:p>
          <w:p w14:paraId="612C08E0">
            <w:pPr>
              <w:numPr>
                <w:ilvl w:val="0"/>
                <w:numId w:val="0"/>
              </w:numPr>
              <w:spacing w:line="420" w:lineRule="exact"/>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2.保障方案详实且措施合理、可行得4分；</w:t>
            </w:r>
          </w:p>
          <w:p w14:paraId="34E77594">
            <w:pPr>
              <w:numPr>
                <w:ilvl w:val="0"/>
                <w:numId w:val="0"/>
              </w:numPr>
              <w:spacing w:line="420" w:lineRule="exact"/>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3.保障方案的详实得2分；</w:t>
            </w:r>
          </w:p>
          <w:p w14:paraId="50150984">
            <w:pPr>
              <w:numPr>
                <w:ilvl w:val="0"/>
                <w:numId w:val="0"/>
              </w:numPr>
              <w:spacing w:line="420" w:lineRule="exact"/>
              <w:jc w:val="left"/>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4.提供现场应急保障方案的得1分；</w:t>
            </w:r>
          </w:p>
          <w:p w14:paraId="0466884E">
            <w:pPr>
              <w:numPr>
                <w:ilvl w:val="0"/>
                <w:numId w:val="0"/>
              </w:numPr>
              <w:spacing w:line="420" w:lineRule="exact"/>
              <w:ind w:left="0" w:leftChars="0"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5.缺项不得分。</w:t>
            </w:r>
          </w:p>
        </w:tc>
      </w:tr>
      <w:tr w14:paraId="08F4C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935" w:type="dxa"/>
            <w:vMerge w:val="restart"/>
            <w:tcMar>
              <w:left w:w="57" w:type="dxa"/>
              <w:right w:w="57" w:type="dxa"/>
            </w:tcMar>
            <w:vAlign w:val="center"/>
          </w:tcPr>
          <w:p w14:paraId="63E6E20C">
            <w:pPr>
              <w:pStyle w:val="20"/>
              <w:pageBreakBefore w:val="0"/>
              <w:kinsoku/>
              <w:overflowPunct/>
              <w:topLinePunct w:val="0"/>
              <w:bidi w:val="0"/>
              <w:spacing w:before="0" w:beforeAutospacing="0" w:after="0" w:afterAutospacing="0" w:line="360" w:lineRule="auto"/>
              <w:jc w:val="center"/>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2.2.2</w:t>
            </w:r>
          </w:p>
          <w:p w14:paraId="38D79D20">
            <w:pPr>
              <w:pStyle w:val="20"/>
              <w:pageBreakBefore w:val="0"/>
              <w:kinsoku/>
              <w:overflowPunct/>
              <w:topLinePunct w:val="0"/>
              <w:bidi w:val="0"/>
              <w:spacing w:before="0" w:beforeAutospacing="0" w:after="0" w:afterAutospacing="0" w:line="360" w:lineRule="auto"/>
              <w:jc w:val="center"/>
              <w:outlineLvl w:val="9"/>
              <w:rPr>
                <w:rFonts w:hint="default"/>
                <w:highlight w:val="none"/>
              </w:rPr>
            </w:pPr>
            <w:r>
              <w:rPr>
                <w:rFonts w:hint="eastAsia" w:ascii="宋体" w:hAnsi="宋体" w:eastAsia="宋体" w:cs="宋体"/>
                <w:highlight w:val="none"/>
                <w:lang w:val="en-US" w:eastAsia="zh-CN"/>
              </w:rPr>
              <w:t>(3)</w:t>
            </w:r>
          </w:p>
        </w:tc>
        <w:tc>
          <w:tcPr>
            <w:tcW w:w="1276" w:type="dxa"/>
            <w:vMerge w:val="restart"/>
            <w:tcMar>
              <w:left w:w="57" w:type="dxa"/>
              <w:right w:w="57" w:type="dxa"/>
            </w:tcMar>
            <w:vAlign w:val="center"/>
          </w:tcPr>
          <w:p w14:paraId="47D73C6A">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综合标评分</w:t>
            </w:r>
          </w:p>
          <w:p w14:paraId="6541D9C1">
            <w:pPr>
              <w:pageBreakBefore w:val="0"/>
              <w:kinsoku/>
              <w:overflowPunct/>
              <w:topLinePunct w:val="0"/>
              <w:bidi w:val="0"/>
              <w:spacing w:line="360" w:lineRule="auto"/>
              <w:jc w:val="center"/>
              <w:outlineLvl w:val="9"/>
              <w:rPr>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20</w:t>
            </w:r>
            <w:r>
              <w:rPr>
                <w:rFonts w:hint="eastAsia" w:ascii="宋体" w:hAnsi="宋体" w:cs="宋体"/>
                <w:sz w:val="24"/>
                <w:szCs w:val="24"/>
                <w:highlight w:val="none"/>
              </w:rPr>
              <w:t>分）</w:t>
            </w:r>
          </w:p>
        </w:tc>
        <w:tc>
          <w:tcPr>
            <w:tcW w:w="1938" w:type="dxa"/>
            <w:tcMar>
              <w:left w:w="57" w:type="dxa"/>
              <w:right w:w="57" w:type="dxa"/>
            </w:tcMar>
            <w:vAlign w:val="center"/>
          </w:tcPr>
          <w:p w14:paraId="53F36F92">
            <w:pPr>
              <w:spacing w:line="400" w:lineRule="exact"/>
              <w:jc w:val="center"/>
              <w:rPr>
                <w:rFonts w:hint="eastAsia" w:ascii="宋体" w:hAnsi="宋体"/>
                <w:sz w:val="24"/>
                <w:szCs w:val="24"/>
                <w:highlight w:val="none"/>
              </w:rPr>
            </w:pPr>
            <w:r>
              <w:rPr>
                <w:rFonts w:hint="eastAsia" w:ascii="宋体" w:hAnsi="宋体"/>
                <w:sz w:val="24"/>
                <w:szCs w:val="24"/>
                <w:highlight w:val="none"/>
                <w:lang w:eastAsia="zh-CN"/>
              </w:rPr>
              <w:t>企业</w:t>
            </w:r>
            <w:r>
              <w:rPr>
                <w:rFonts w:hint="eastAsia" w:ascii="宋体" w:hAnsi="宋体"/>
                <w:sz w:val="24"/>
                <w:szCs w:val="24"/>
                <w:highlight w:val="none"/>
              </w:rPr>
              <w:t>业绩</w:t>
            </w:r>
          </w:p>
          <w:p w14:paraId="5C8DADD6">
            <w:pPr>
              <w:spacing w:line="400" w:lineRule="exact"/>
              <w:jc w:val="center"/>
              <w:rPr>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6分</w:t>
            </w:r>
            <w:r>
              <w:rPr>
                <w:rFonts w:hint="eastAsia" w:ascii="宋体" w:hAnsi="宋体"/>
                <w:sz w:val="24"/>
                <w:szCs w:val="24"/>
                <w:highlight w:val="none"/>
                <w:lang w:eastAsia="zh-CN"/>
              </w:rPr>
              <w:t>）</w:t>
            </w:r>
          </w:p>
        </w:tc>
        <w:tc>
          <w:tcPr>
            <w:tcW w:w="5677" w:type="dxa"/>
            <w:tcMar>
              <w:left w:w="57" w:type="dxa"/>
              <w:right w:w="57" w:type="dxa"/>
            </w:tcMar>
            <w:vAlign w:val="center"/>
          </w:tcPr>
          <w:p w14:paraId="04E5DB9B">
            <w:pPr>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供应商提供2022年以来投标产品类似项目业绩，每提供1份得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分，满分</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分。</w:t>
            </w:r>
          </w:p>
          <w:p w14:paraId="0B1B6F53">
            <w:pPr>
              <w:spacing w:line="400" w:lineRule="exact"/>
              <w:rPr>
                <w:rFonts w:ascii="宋体" w:hAnsi="宋体" w:cs="宋体"/>
                <w:sz w:val="24"/>
                <w:szCs w:val="24"/>
                <w:highlight w:val="none"/>
              </w:rPr>
            </w:pPr>
            <w:r>
              <w:rPr>
                <w:rFonts w:hint="eastAsia" w:ascii="宋体" w:hAnsi="宋体" w:eastAsia="宋体" w:cs="宋体"/>
                <w:color w:val="auto"/>
                <w:sz w:val="24"/>
                <w:szCs w:val="24"/>
                <w:highlight w:val="none"/>
                <w:lang w:eastAsia="zh-CN"/>
              </w:rPr>
              <w:t>注：须提供供应商合同原件扫描件，缺项或未提供不得分。</w:t>
            </w:r>
          </w:p>
        </w:tc>
      </w:tr>
      <w:tr w14:paraId="112F6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935" w:type="dxa"/>
            <w:vMerge w:val="continue"/>
            <w:tcMar>
              <w:left w:w="57" w:type="dxa"/>
              <w:right w:w="57" w:type="dxa"/>
            </w:tcMar>
            <w:vAlign w:val="center"/>
          </w:tcPr>
          <w:p w14:paraId="2DDC5473">
            <w:pPr>
              <w:pStyle w:val="20"/>
              <w:pageBreakBefore w:val="0"/>
              <w:kinsoku/>
              <w:overflowPunct/>
              <w:topLinePunct w:val="0"/>
              <w:bidi w:val="0"/>
              <w:spacing w:before="0" w:beforeAutospacing="0" w:after="0" w:afterAutospacing="0" w:line="360" w:lineRule="auto"/>
              <w:jc w:val="center"/>
              <w:outlineLvl w:val="9"/>
              <w:rPr>
                <w:rFonts w:hint="default"/>
                <w:highlight w:val="none"/>
              </w:rPr>
            </w:pPr>
          </w:p>
        </w:tc>
        <w:tc>
          <w:tcPr>
            <w:tcW w:w="1276" w:type="dxa"/>
            <w:vMerge w:val="continue"/>
            <w:tcMar>
              <w:left w:w="57" w:type="dxa"/>
              <w:right w:w="57" w:type="dxa"/>
            </w:tcMar>
            <w:vAlign w:val="center"/>
          </w:tcPr>
          <w:p w14:paraId="2FD07D09">
            <w:pPr>
              <w:pageBreakBefore w:val="0"/>
              <w:kinsoku/>
              <w:overflowPunct/>
              <w:topLinePunct w:val="0"/>
              <w:bidi w:val="0"/>
              <w:spacing w:line="360" w:lineRule="auto"/>
              <w:jc w:val="center"/>
              <w:outlineLvl w:val="9"/>
              <w:rPr>
                <w:rFonts w:ascii="宋体" w:hAnsi="宋体" w:cs="宋体"/>
                <w:sz w:val="24"/>
                <w:szCs w:val="24"/>
                <w:highlight w:val="none"/>
              </w:rPr>
            </w:pPr>
          </w:p>
        </w:tc>
        <w:tc>
          <w:tcPr>
            <w:tcW w:w="1938" w:type="dxa"/>
            <w:vMerge w:val="restart"/>
            <w:tcMar>
              <w:left w:w="57" w:type="dxa"/>
              <w:right w:w="57" w:type="dxa"/>
            </w:tcMar>
            <w:vAlign w:val="center"/>
          </w:tcPr>
          <w:p w14:paraId="277CCEE7">
            <w:pPr>
              <w:widowControl/>
              <w:spacing w:line="400" w:lineRule="exact"/>
              <w:jc w:val="center"/>
              <w:rPr>
                <w:rFonts w:hint="eastAsia" w:ascii="宋体" w:hAnsi="宋体"/>
                <w:kern w:val="0"/>
                <w:sz w:val="24"/>
                <w:szCs w:val="24"/>
                <w:highlight w:val="none"/>
              </w:rPr>
            </w:pPr>
            <w:r>
              <w:rPr>
                <w:rFonts w:hint="eastAsia" w:ascii="宋体" w:hAnsi="宋体"/>
                <w:kern w:val="0"/>
                <w:sz w:val="24"/>
                <w:szCs w:val="24"/>
                <w:highlight w:val="none"/>
              </w:rPr>
              <w:t>售后服务</w:t>
            </w:r>
          </w:p>
          <w:p w14:paraId="5C7639DB">
            <w:pPr>
              <w:pageBreakBefore w:val="0"/>
              <w:kinsoku/>
              <w:overflowPunct/>
              <w:topLinePunct w:val="0"/>
              <w:bidi w:val="0"/>
              <w:spacing w:line="360" w:lineRule="auto"/>
              <w:jc w:val="center"/>
              <w:outlineLvl w:val="9"/>
              <w:rPr>
                <w:highlight w:val="none"/>
              </w:rPr>
            </w:pPr>
            <w:r>
              <w:rPr>
                <w:rFonts w:hint="eastAsia" w:ascii="宋体" w:hAnsi="宋体"/>
                <w:kern w:val="0"/>
                <w:sz w:val="24"/>
                <w:szCs w:val="24"/>
                <w:highlight w:val="none"/>
                <w:lang w:eastAsia="zh-CN"/>
              </w:rPr>
              <w:t>（</w:t>
            </w:r>
            <w:r>
              <w:rPr>
                <w:rFonts w:hint="eastAsia" w:ascii="宋体" w:hAnsi="宋体"/>
                <w:kern w:val="0"/>
                <w:sz w:val="24"/>
                <w:szCs w:val="24"/>
                <w:highlight w:val="none"/>
                <w:lang w:val="en-US" w:eastAsia="zh-CN"/>
              </w:rPr>
              <w:t>14分</w:t>
            </w:r>
            <w:r>
              <w:rPr>
                <w:rFonts w:hint="eastAsia" w:ascii="宋体" w:hAnsi="宋体"/>
                <w:kern w:val="0"/>
                <w:sz w:val="24"/>
                <w:szCs w:val="24"/>
                <w:highlight w:val="none"/>
                <w:lang w:eastAsia="zh-CN"/>
              </w:rPr>
              <w:t>）</w:t>
            </w:r>
          </w:p>
        </w:tc>
        <w:tc>
          <w:tcPr>
            <w:tcW w:w="5677" w:type="dxa"/>
            <w:tcMar>
              <w:left w:w="57" w:type="dxa"/>
              <w:right w:w="57" w:type="dxa"/>
            </w:tcMar>
            <w:vAlign w:val="center"/>
          </w:tcPr>
          <w:p w14:paraId="4917B434">
            <w:pPr>
              <w:numPr>
                <w:ilvl w:val="0"/>
                <w:numId w:val="0"/>
              </w:numPr>
              <w:spacing w:line="42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服务方案（10分）：</w:t>
            </w:r>
          </w:p>
          <w:p w14:paraId="3D342235">
            <w:pPr>
              <w:numPr>
                <w:ilvl w:val="0"/>
                <w:numId w:val="0"/>
              </w:numPr>
              <w:spacing w:line="42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供应商根据本项目特点提供售后服务方案，方案内容及措施，至少应包含但不限于：售后人员配备名单及售后人员相关证书、售后流程、售后培训计划、售后服务承诺、故障解决流程等 ：</w:t>
            </w:r>
          </w:p>
          <w:p w14:paraId="17500A89">
            <w:pPr>
              <w:numPr>
                <w:ilvl w:val="0"/>
                <w:numId w:val="0"/>
              </w:numPr>
              <w:spacing w:line="42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方案思路清晰、合理、措施完善、科学、针对性强的计10分；</w:t>
            </w:r>
          </w:p>
          <w:p w14:paraId="194C1B25">
            <w:pPr>
              <w:numPr>
                <w:ilvl w:val="0"/>
                <w:numId w:val="0"/>
              </w:numPr>
              <w:spacing w:line="42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方案思路清晰性、合理性、措施完善性、科学性、针对性较好的计8分；</w:t>
            </w:r>
          </w:p>
          <w:p w14:paraId="3286FB47">
            <w:pPr>
              <w:numPr>
                <w:ilvl w:val="0"/>
                <w:numId w:val="0"/>
              </w:numPr>
              <w:spacing w:line="42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方案思路清晰性、合理性、措施完善性、科学性、针对性一般的计5分；</w:t>
            </w:r>
          </w:p>
          <w:p w14:paraId="1DDBF921">
            <w:pPr>
              <w:numPr>
                <w:ilvl w:val="0"/>
                <w:numId w:val="0"/>
              </w:numPr>
              <w:spacing w:line="42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方案思路清晰性、合理性、措施完善性、科学性、针对性较差的计2分；</w:t>
            </w:r>
          </w:p>
          <w:p w14:paraId="6336D0E2">
            <w:pPr>
              <w:spacing w:line="420" w:lineRule="exact"/>
              <w:jc w:val="left"/>
              <w:rPr>
                <w:rFonts w:ascii="宋体" w:hAnsi="宋体" w:cs="宋体"/>
                <w:sz w:val="24"/>
                <w:szCs w:val="24"/>
                <w:highlight w:val="none"/>
              </w:rPr>
            </w:pPr>
            <w:r>
              <w:rPr>
                <w:rFonts w:hint="eastAsia" w:ascii="宋体" w:hAnsi="宋体" w:eastAsia="宋体" w:cs="宋体"/>
                <w:sz w:val="24"/>
                <w:szCs w:val="24"/>
                <w:highlight w:val="none"/>
                <w:lang w:val="en-US" w:eastAsia="zh-CN"/>
              </w:rPr>
              <w:t>缺项不得分。</w:t>
            </w:r>
          </w:p>
        </w:tc>
      </w:tr>
      <w:tr w14:paraId="1471C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935" w:type="dxa"/>
            <w:vMerge w:val="continue"/>
            <w:tcMar>
              <w:left w:w="57" w:type="dxa"/>
              <w:right w:w="57" w:type="dxa"/>
            </w:tcMar>
            <w:vAlign w:val="center"/>
          </w:tcPr>
          <w:p w14:paraId="7DD61732">
            <w:pPr>
              <w:pStyle w:val="20"/>
              <w:pageBreakBefore w:val="0"/>
              <w:kinsoku/>
              <w:overflowPunct/>
              <w:topLinePunct w:val="0"/>
              <w:bidi w:val="0"/>
              <w:spacing w:before="0" w:beforeAutospacing="0" w:after="0" w:afterAutospacing="0" w:line="360" w:lineRule="auto"/>
              <w:jc w:val="center"/>
              <w:outlineLvl w:val="9"/>
              <w:rPr>
                <w:rFonts w:hint="default"/>
                <w:highlight w:val="none"/>
              </w:rPr>
            </w:pPr>
          </w:p>
        </w:tc>
        <w:tc>
          <w:tcPr>
            <w:tcW w:w="1276" w:type="dxa"/>
            <w:vMerge w:val="continue"/>
            <w:tcMar>
              <w:left w:w="57" w:type="dxa"/>
              <w:right w:w="57" w:type="dxa"/>
            </w:tcMar>
            <w:vAlign w:val="center"/>
          </w:tcPr>
          <w:p w14:paraId="4A1FE667">
            <w:pPr>
              <w:pageBreakBefore w:val="0"/>
              <w:kinsoku/>
              <w:overflowPunct/>
              <w:topLinePunct w:val="0"/>
              <w:bidi w:val="0"/>
              <w:spacing w:line="360" w:lineRule="auto"/>
              <w:jc w:val="center"/>
              <w:outlineLvl w:val="9"/>
              <w:rPr>
                <w:rFonts w:ascii="宋体" w:hAnsi="宋体" w:cs="宋体"/>
                <w:sz w:val="24"/>
                <w:szCs w:val="24"/>
                <w:highlight w:val="none"/>
              </w:rPr>
            </w:pPr>
          </w:p>
        </w:tc>
        <w:tc>
          <w:tcPr>
            <w:tcW w:w="1938" w:type="dxa"/>
            <w:vMerge w:val="continue"/>
            <w:tcMar>
              <w:left w:w="57" w:type="dxa"/>
              <w:right w:w="57" w:type="dxa"/>
            </w:tcMar>
            <w:vAlign w:val="center"/>
          </w:tcPr>
          <w:p w14:paraId="2D4D0813">
            <w:pPr>
              <w:pageBreakBefore w:val="0"/>
              <w:kinsoku/>
              <w:overflowPunct/>
              <w:topLinePunct w:val="0"/>
              <w:bidi w:val="0"/>
              <w:spacing w:line="360" w:lineRule="auto"/>
              <w:jc w:val="center"/>
              <w:outlineLvl w:val="9"/>
              <w:rPr>
                <w:rFonts w:hint="eastAsia"/>
                <w:highlight w:val="none"/>
              </w:rPr>
            </w:pPr>
          </w:p>
        </w:tc>
        <w:tc>
          <w:tcPr>
            <w:tcW w:w="5677" w:type="dxa"/>
            <w:tcMar>
              <w:left w:w="57" w:type="dxa"/>
              <w:right w:w="57" w:type="dxa"/>
            </w:tcMar>
            <w:vAlign w:val="center"/>
          </w:tcPr>
          <w:p w14:paraId="0BF38E23">
            <w:pPr>
              <w:adjustRightInd w:val="0"/>
              <w:snapToGrid w:val="0"/>
              <w:spacing w:line="400" w:lineRule="exact"/>
              <w:rPr>
                <w:rFonts w:hint="eastAsia" w:ascii="宋体" w:hAnsi="宋体" w:cs="宋体"/>
                <w:sz w:val="24"/>
                <w:szCs w:val="24"/>
                <w:highlight w:val="none"/>
              </w:rPr>
            </w:pPr>
            <w:r>
              <w:rPr>
                <w:rFonts w:hint="eastAsia" w:ascii="宋体" w:hAnsi="宋体" w:cs="宋体"/>
                <w:sz w:val="24"/>
                <w:szCs w:val="24"/>
                <w:highlight w:val="none"/>
              </w:rPr>
              <w:t>服务响应时间（4分）：</w:t>
            </w:r>
          </w:p>
          <w:p w14:paraId="127AFFE7">
            <w:pPr>
              <w:adjustRightInd w:val="0"/>
              <w:snapToGrid w:val="0"/>
              <w:spacing w:line="400" w:lineRule="exact"/>
              <w:rPr>
                <w:rFonts w:hint="eastAsia" w:ascii="宋体" w:hAnsi="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供应商</w:t>
            </w:r>
            <w:r>
              <w:rPr>
                <w:rFonts w:hint="eastAsia" w:ascii="宋体" w:hAnsi="宋体" w:cs="宋体"/>
                <w:sz w:val="24"/>
                <w:szCs w:val="24"/>
                <w:highlight w:val="none"/>
              </w:rPr>
              <w:t>承诺在15分钟内响应、2小时内到达现场维修的得4分；</w:t>
            </w:r>
          </w:p>
          <w:p w14:paraId="4A531D6C">
            <w:pPr>
              <w:adjustRightInd w:val="0"/>
              <w:snapToGrid w:val="0"/>
              <w:spacing w:line="400" w:lineRule="exact"/>
              <w:rPr>
                <w:rFonts w:hint="eastAsia" w:ascii="宋体" w:hAnsi="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承诺在4小时内响应、8小时内到达现场维修的得2分；</w:t>
            </w:r>
          </w:p>
          <w:p w14:paraId="72B82D6A">
            <w:pPr>
              <w:adjustRightInd w:val="0"/>
              <w:snapToGrid w:val="0"/>
              <w:spacing w:line="400" w:lineRule="exact"/>
              <w:rPr>
                <w:rFonts w:hint="eastAsia" w:ascii="宋体" w:hAnsi="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承诺在6小时内响应、12小时内到达现场维修的得1分；</w:t>
            </w:r>
          </w:p>
          <w:p w14:paraId="178B9136">
            <w:pPr>
              <w:adjustRightInd w:val="0"/>
              <w:snapToGrid w:val="0"/>
              <w:spacing w:line="400" w:lineRule="exact"/>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w:t>
            </w:r>
            <w:r>
              <w:rPr>
                <w:rFonts w:hint="eastAsia" w:ascii="宋体" w:hAnsi="宋体" w:cs="宋体"/>
                <w:sz w:val="24"/>
                <w:szCs w:val="24"/>
                <w:highlight w:val="none"/>
              </w:rPr>
              <w:t>其他时间不得分。</w:t>
            </w:r>
          </w:p>
        </w:tc>
      </w:tr>
    </w:tbl>
    <w:p w14:paraId="7ACC5379">
      <w:pPr>
        <w:pageBreakBefore w:val="0"/>
        <w:kinsoku/>
        <w:overflowPunct/>
        <w:topLinePunct w:val="0"/>
        <w:bidi w:val="0"/>
        <w:spacing w:line="400" w:lineRule="exact"/>
        <w:ind w:firstLine="482" w:firstLineChars="200"/>
        <w:outlineLvl w:val="9"/>
        <w:rPr>
          <w:rFonts w:hint="eastAsia" w:ascii="宋体" w:hAnsi="宋体" w:eastAsia="宋体" w:cs="宋体"/>
          <w:b/>
          <w:sz w:val="24"/>
          <w:szCs w:val="24"/>
          <w:highlight w:val="none"/>
        </w:rPr>
      </w:pPr>
    </w:p>
    <w:p w14:paraId="46CCA953">
      <w:pPr>
        <w:pageBreakBefore w:val="0"/>
        <w:kinsoku/>
        <w:overflowPunct/>
        <w:topLinePunct w:val="0"/>
        <w:bidi w:val="0"/>
        <w:spacing w:line="400" w:lineRule="exact"/>
        <w:ind w:firstLine="482" w:firstLineChars="200"/>
        <w:outlineLvl w:val="9"/>
        <w:rPr>
          <w:rFonts w:hint="eastAsia" w:ascii="宋体" w:hAnsi="宋体" w:eastAsia="宋体" w:cs="宋体"/>
          <w:b/>
          <w:sz w:val="24"/>
          <w:szCs w:val="24"/>
          <w:highlight w:val="none"/>
        </w:rPr>
      </w:pPr>
    </w:p>
    <w:tbl>
      <w:tblPr>
        <w:tblStyle w:val="23"/>
        <w:tblW w:w="9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276"/>
        <w:gridCol w:w="1830"/>
        <w:gridCol w:w="5785"/>
      </w:tblGrid>
      <w:tr w14:paraId="6658E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826" w:type="dxa"/>
            <w:gridSpan w:val="4"/>
            <w:tcMar>
              <w:left w:w="57" w:type="dxa"/>
              <w:right w:w="57" w:type="dxa"/>
            </w:tcMar>
            <w:vAlign w:val="center"/>
          </w:tcPr>
          <w:p w14:paraId="27A205AC">
            <w:pPr>
              <w:pStyle w:val="43"/>
              <w:pageBreakBefore w:val="0"/>
              <w:kinsoku/>
              <w:overflowPunct/>
              <w:topLinePunct w:val="0"/>
              <w:bidi w:val="0"/>
              <w:spacing w:before="206" w:line="360" w:lineRule="auto"/>
              <w:ind w:left="147" w:right="139"/>
              <w:jc w:val="left"/>
              <w:outlineLvl w:val="9"/>
              <w:rPr>
                <w:rFonts w:hint="default" w:eastAsiaTheme="minorEastAsia"/>
                <w:b/>
                <w:bCs/>
                <w:sz w:val="24"/>
                <w:szCs w:val="22"/>
                <w:highlight w:val="none"/>
                <w:lang w:val="en-US" w:eastAsia="zh-CN"/>
              </w:rPr>
            </w:pPr>
            <w:r>
              <w:rPr>
                <w:rFonts w:hint="eastAsia"/>
                <w:b/>
                <w:bCs/>
                <w:sz w:val="24"/>
                <w:szCs w:val="22"/>
                <w:highlight w:val="none"/>
                <w:lang w:val="en-US" w:eastAsia="zh-CN"/>
              </w:rPr>
              <w:t>三标段</w:t>
            </w:r>
          </w:p>
        </w:tc>
      </w:tr>
      <w:tr w14:paraId="1E44C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211" w:type="dxa"/>
            <w:gridSpan w:val="2"/>
            <w:tcMar>
              <w:left w:w="57" w:type="dxa"/>
              <w:right w:w="57" w:type="dxa"/>
            </w:tcMar>
            <w:vAlign w:val="center"/>
          </w:tcPr>
          <w:p w14:paraId="08469A6B">
            <w:pPr>
              <w:pStyle w:val="43"/>
              <w:pageBreakBefore w:val="0"/>
              <w:kinsoku/>
              <w:overflowPunct/>
              <w:topLinePunct w:val="0"/>
              <w:bidi w:val="0"/>
              <w:spacing w:before="206"/>
              <w:ind w:left="147" w:right="139"/>
              <w:jc w:val="both"/>
              <w:outlineLvl w:val="9"/>
              <w:rPr>
                <w:b/>
                <w:bCs/>
                <w:sz w:val="24"/>
                <w:szCs w:val="22"/>
                <w:highlight w:val="none"/>
              </w:rPr>
            </w:pPr>
            <w:r>
              <w:rPr>
                <w:rFonts w:hint="eastAsia"/>
                <w:b/>
                <w:bCs/>
                <w:sz w:val="24"/>
                <w:szCs w:val="22"/>
                <w:highlight w:val="none"/>
              </w:rPr>
              <w:t>条款号</w:t>
            </w:r>
          </w:p>
        </w:tc>
        <w:tc>
          <w:tcPr>
            <w:tcW w:w="1830" w:type="dxa"/>
            <w:tcMar>
              <w:left w:w="57" w:type="dxa"/>
              <w:right w:w="57" w:type="dxa"/>
            </w:tcMar>
            <w:vAlign w:val="center"/>
          </w:tcPr>
          <w:p w14:paraId="62EBB3CB">
            <w:pPr>
              <w:pStyle w:val="43"/>
              <w:pageBreakBefore w:val="0"/>
              <w:kinsoku/>
              <w:overflowPunct/>
              <w:topLinePunct w:val="0"/>
              <w:bidi w:val="0"/>
              <w:spacing w:before="206"/>
              <w:ind w:left="147" w:right="139"/>
              <w:jc w:val="both"/>
              <w:outlineLvl w:val="9"/>
              <w:rPr>
                <w:b/>
                <w:bCs/>
                <w:sz w:val="24"/>
                <w:szCs w:val="22"/>
                <w:highlight w:val="none"/>
              </w:rPr>
            </w:pPr>
            <w:r>
              <w:rPr>
                <w:rFonts w:hint="eastAsia"/>
                <w:b/>
                <w:bCs/>
                <w:sz w:val="24"/>
                <w:szCs w:val="22"/>
                <w:highlight w:val="none"/>
              </w:rPr>
              <w:t>评审因素</w:t>
            </w:r>
          </w:p>
        </w:tc>
        <w:tc>
          <w:tcPr>
            <w:tcW w:w="5785" w:type="dxa"/>
            <w:tcMar>
              <w:left w:w="57" w:type="dxa"/>
              <w:right w:w="57" w:type="dxa"/>
            </w:tcMar>
            <w:vAlign w:val="center"/>
          </w:tcPr>
          <w:p w14:paraId="7575267B">
            <w:pPr>
              <w:pStyle w:val="43"/>
              <w:pageBreakBefore w:val="0"/>
              <w:kinsoku/>
              <w:overflowPunct/>
              <w:topLinePunct w:val="0"/>
              <w:bidi w:val="0"/>
              <w:spacing w:before="206"/>
              <w:ind w:left="147" w:right="139"/>
              <w:jc w:val="both"/>
              <w:outlineLvl w:val="9"/>
              <w:rPr>
                <w:b/>
                <w:bCs/>
                <w:sz w:val="24"/>
                <w:szCs w:val="22"/>
                <w:highlight w:val="none"/>
              </w:rPr>
            </w:pPr>
            <w:r>
              <w:rPr>
                <w:rFonts w:hint="eastAsia"/>
                <w:b/>
                <w:bCs/>
                <w:sz w:val="24"/>
                <w:szCs w:val="22"/>
                <w:highlight w:val="none"/>
              </w:rPr>
              <w:t>评审标准</w:t>
            </w:r>
          </w:p>
        </w:tc>
      </w:tr>
      <w:tr w14:paraId="4A7A3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35" w:type="dxa"/>
            <w:vMerge w:val="restart"/>
            <w:tcMar>
              <w:left w:w="57" w:type="dxa"/>
              <w:right w:w="57" w:type="dxa"/>
            </w:tcMar>
            <w:vAlign w:val="center"/>
          </w:tcPr>
          <w:p w14:paraId="26E98868">
            <w:pPr>
              <w:pStyle w:val="20"/>
              <w:pageBreakBefore w:val="0"/>
              <w:kinsoku/>
              <w:overflowPunct/>
              <w:topLinePunct w:val="0"/>
              <w:bidi w:val="0"/>
              <w:spacing w:before="0" w:beforeAutospacing="0" w:after="0" w:afterAutospacing="0" w:line="360" w:lineRule="auto"/>
              <w:jc w:val="center"/>
              <w:outlineLvl w:val="9"/>
              <w:rPr>
                <w:rFonts w:hint="default"/>
                <w:highlight w:val="none"/>
              </w:rPr>
            </w:pPr>
            <w:r>
              <w:rPr>
                <w:rFonts w:hint="eastAsia" w:ascii="宋体" w:hAnsi="宋体" w:eastAsia="宋体" w:cs="宋体"/>
                <w:highlight w:val="none"/>
              </w:rPr>
              <w:t>2.1.1</w:t>
            </w:r>
          </w:p>
        </w:tc>
        <w:tc>
          <w:tcPr>
            <w:tcW w:w="1276" w:type="dxa"/>
            <w:vMerge w:val="restart"/>
            <w:tcMar>
              <w:left w:w="57" w:type="dxa"/>
              <w:right w:w="57" w:type="dxa"/>
            </w:tcMar>
            <w:vAlign w:val="center"/>
          </w:tcPr>
          <w:p w14:paraId="00B07C79">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形式评审标准</w:t>
            </w:r>
          </w:p>
        </w:tc>
        <w:tc>
          <w:tcPr>
            <w:tcW w:w="1830" w:type="dxa"/>
            <w:tcMar>
              <w:left w:w="57" w:type="dxa"/>
              <w:right w:w="57" w:type="dxa"/>
            </w:tcMar>
            <w:vAlign w:val="center"/>
          </w:tcPr>
          <w:p w14:paraId="305174D1">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名称</w:t>
            </w:r>
          </w:p>
        </w:tc>
        <w:tc>
          <w:tcPr>
            <w:tcW w:w="5785" w:type="dxa"/>
            <w:tcMar>
              <w:left w:w="57" w:type="dxa"/>
              <w:right w:w="57" w:type="dxa"/>
            </w:tcMar>
            <w:vAlign w:val="center"/>
          </w:tcPr>
          <w:p w14:paraId="07D1B263">
            <w:pPr>
              <w:pageBreakBefore w:val="0"/>
              <w:kinsoku/>
              <w:overflowPunct/>
              <w:topLinePunct w:val="0"/>
              <w:bidi w:val="0"/>
              <w:spacing w:line="360" w:lineRule="auto"/>
              <w:jc w:val="left"/>
              <w:outlineLvl w:val="9"/>
              <w:rPr>
                <w:rFonts w:ascii="宋体" w:hAnsi="宋体" w:cs="宋体"/>
                <w:sz w:val="24"/>
                <w:szCs w:val="24"/>
                <w:highlight w:val="none"/>
              </w:rPr>
            </w:pPr>
            <w:r>
              <w:rPr>
                <w:rFonts w:hint="eastAsia" w:ascii="宋体" w:hAnsi="宋体" w:eastAsia="宋体" w:cs="宋体"/>
                <w:color w:val="000000"/>
                <w:sz w:val="24"/>
                <w:szCs w:val="24"/>
                <w:highlight w:val="none"/>
              </w:rPr>
              <w:t>与营业执照一致。</w:t>
            </w:r>
          </w:p>
        </w:tc>
      </w:tr>
      <w:tr w14:paraId="086B8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35" w:type="dxa"/>
            <w:vMerge w:val="continue"/>
            <w:tcMar>
              <w:left w:w="57" w:type="dxa"/>
              <w:right w:w="57" w:type="dxa"/>
            </w:tcMar>
            <w:vAlign w:val="center"/>
          </w:tcPr>
          <w:p w14:paraId="1F76D4E5">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59CDC99B">
            <w:pPr>
              <w:pageBreakBefore w:val="0"/>
              <w:kinsoku/>
              <w:overflowPunct/>
              <w:topLinePunct w:val="0"/>
              <w:bidi w:val="0"/>
              <w:spacing w:line="360" w:lineRule="auto"/>
              <w:jc w:val="center"/>
              <w:outlineLvl w:val="9"/>
              <w:rPr>
                <w:rFonts w:ascii="宋体" w:hAnsi="宋体" w:cs="宋体"/>
                <w:sz w:val="24"/>
                <w:szCs w:val="24"/>
                <w:highlight w:val="none"/>
              </w:rPr>
            </w:pPr>
          </w:p>
        </w:tc>
        <w:tc>
          <w:tcPr>
            <w:tcW w:w="1830" w:type="dxa"/>
            <w:tcMar>
              <w:left w:w="57" w:type="dxa"/>
              <w:right w:w="57" w:type="dxa"/>
            </w:tcMar>
            <w:vAlign w:val="center"/>
          </w:tcPr>
          <w:p w14:paraId="0FAA0F00">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eastAsia="宋体" w:cs="宋体"/>
                <w:color w:val="000000"/>
                <w:sz w:val="24"/>
                <w:szCs w:val="24"/>
                <w:highlight w:val="none"/>
              </w:rPr>
              <w:t>签字盖章</w:t>
            </w:r>
          </w:p>
        </w:tc>
        <w:tc>
          <w:tcPr>
            <w:tcW w:w="5785" w:type="dxa"/>
            <w:tcMar>
              <w:left w:w="57" w:type="dxa"/>
              <w:right w:w="57" w:type="dxa"/>
            </w:tcMar>
            <w:vAlign w:val="center"/>
          </w:tcPr>
          <w:p w14:paraId="056B4077">
            <w:pPr>
              <w:pageBreakBefore w:val="0"/>
              <w:kinsoku/>
              <w:overflowPunct/>
              <w:topLinePunct w:val="0"/>
              <w:bidi w:val="0"/>
              <w:spacing w:line="360" w:lineRule="auto"/>
              <w:jc w:val="left"/>
              <w:outlineLvl w:val="9"/>
              <w:rPr>
                <w:rFonts w:ascii="宋体" w:hAnsi="宋体" w:cs="宋体"/>
                <w:sz w:val="24"/>
                <w:szCs w:val="24"/>
                <w:highlight w:val="none"/>
              </w:rPr>
            </w:pPr>
            <w:r>
              <w:rPr>
                <w:rFonts w:hint="eastAsia" w:ascii="宋体" w:hAnsi="宋体" w:eastAsia="宋体" w:cs="宋体"/>
                <w:color w:val="auto"/>
                <w:sz w:val="24"/>
                <w:szCs w:val="24"/>
                <w:highlight w:val="none"/>
                <w:lang w:val="en-US" w:eastAsia="zh-CN" w:bidi="ar"/>
              </w:rPr>
              <w:t>法定代表人电子签章并加章单位公章。</w:t>
            </w:r>
          </w:p>
        </w:tc>
      </w:tr>
      <w:tr w14:paraId="288CE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35" w:type="dxa"/>
            <w:vMerge w:val="continue"/>
            <w:tcMar>
              <w:left w:w="57" w:type="dxa"/>
              <w:right w:w="57" w:type="dxa"/>
            </w:tcMar>
            <w:vAlign w:val="center"/>
          </w:tcPr>
          <w:p w14:paraId="1BCAC1D1">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50702F45">
            <w:pPr>
              <w:pageBreakBefore w:val="0"/>
              <w:kinsoku/>
              <w:overflowPunct/>
              <w:topLinePunct w:val="0"/>
              <w:bidi w:val="0"/>
              <w:spacing w:line="360" w:lineRule="auto"/>
              <w:jc w:val="center"/>
              <w:outlineLvl w:val="9"/>
              <w:rPr>
                <w:rFonts w:ascii="宋体" w:hAnsi="宋体" w:cs="宋体"/>
                <w:sz w:val="24"/>
                <w:szCs w:val="24"/>
                <w:highlight w:val="none"/>
              </w:rPr>
            </w:pPr>
          </w:p>
        </w:tc>
        <w:tc>
          <w:tcPr>
            <w:tcW w:w="1830" w:type="dxa"/>
            <w:tcMar>
              <w:left w:w="57" w:type="dxa"/>
              <w:right w:w="57" w:type="dxa"/>
            </w:tcMar>
            <w:vAlign w:val="center"/>
          </w:tcPr>
          <w:p w14:paraId="3703FA4E">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eastAsia="宋体" w:cs="宋体"/>
                <w:color w:val="000000"/>
                <w:sz w:val="24"/>
                <w:szCs w:val="24"/>
                <w:highlight w:val="none"/>
              </w:rPr>
              <w:t>报价唯一</w:t>
            </w:r>
          </w:p>
        </w:tc>
        <w:tc>
          <w:tcPr>
            <w:tcW w:w="5785" w:type="dxa"/>
            <w:tcMar>
              <w:left w:w="57" w:type="dxa"/>
              <w:right w:w="57" w:type="dxa"/>
            </w:tcMar>
            <w:vAlign w:val="center"/>
          </w:tcPr>
          <w:p w14:paraId="5D6CBF56">
            <w:pPr>
              <w:pageBreakBefore w:val="0"/>
              <w:kinsoku/>
              <w:overflowPunct/>
              <w:topLinePunct w:val="0"/>
              <w:bidi w:val="0"/>
              <w:spacing w:line="360" w:lineRule="auto"/>
              <w:jc w:val="left"/>
              <w:outlineLvl w:val="9"/>
              <w:rPr>
                <w:rFonts w:ascii="宋体" w:hAnsi="宋体" w:cs="宋体"/>
                <w:sz w:val="24"/>
                <w:szCs w:val="24"/>
                <w:highlight w:val="none"/>
              </w:rPr>
            </w:pPr>
            <w:r>
              <w:rPr>
                <w:rFonts w:hint="eastAsia" w:ascii="宋体" w:hAnsi="宋体" w:eastAsia="宋体" w:cs="宋体"/>
                <w:color w:val="000000"/>
                <w:sz w:val="24"/>
                <w:szCs w:val="24"/>
                <w:highlight w:val="none"/>
              </w:rPr>
              <w:t>只能有一个有效报价。</w:t>
            </w:r>
          </w:p>
        </w:tc>
      </w:tr>
      <w:tr w14:paraId="7FB76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35" w:type="dxa"/>
            <w:vMerge w:val="restart"/>
            <w:tcMar>
              <w:left w:w="57" w:type="dxa"/>
              <w:right w:w="57" w:type="dxa"/>
            </w:tcMar>
            <w:vAlign w:val="center"/>
          </w:tcPr>
          <w:p w14:paraId="61B19130">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2.1.2</w:t>
            </w:r>
          </w:p>
        </w:tc>
        <w:tc>
          <w:tcPr>
            <w:tcW w:w="1276" w:type="dxa"/>
            <w:vMerge w:val="restart"/>
            <w:tcMar>
              <w:left w:w="57" w:type="dxa"/>
              <w:right w:w="57" w:type="dxa"/>
            </w:tcMar>
            <w:vAlign w:val="center"/>
          </w:tcPr>
          <w:p w14:paraId="177F95A6">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资格评审标准</w:t>
            </w:r>
          </w:p>
        </w:tc>
        <w:tc>
          <w:tcPr>
            <w:tcW w:w="1830" w:type="dxa"/>
            <w:tcMar>
              <w:left w:w="57" w:type="dxa"/>
              <w:right w:w="57" w:type="dxa"/>
            </w:tcMar>
            <w:vAlign w:val="center"/>
          </w:tcPr>
          <w:p w14:paraId="5117E8EA">
            <w:pPr>
              <w:pageBreakBefore w:val="0"/>
              <w:kinsoku/>
              <w:overflowPunct/>
              <w:topLinePunct w:val="0"/>
              <w:bidi w:val="0"/>
              <w:spacing w:line="360" w:lineRule="auto"/>
              <w:jc w:val="center"/>
              <w:outlineLvl w:val="9"/>
              <w:rPr>
                <w:rFonts w:hint="eastAsia" w:ascii="宋体" w:hAnsi="宋体" w:cs="宋体" w:eastAsiaTheme="minorEastAsia"/>
                <w:kern w:val="2"/>
                <w:sz w:val="24"/>
                <w:szCs w:val="24"/>
                <w:highlight w:val="none"/>
                <w:lang w:val="en-US" w:eastAsia="zh-CN" w:bidi="ar-SA"/>
              </w:rPr>
            </w:pPr>
            <w:r>
              <w:rPr>
                <w:rFonts w:hint="eastAsia" w:ascii="宋体" w:hAnsi="宋体" w:eastAsia="宋体" w:cs="宋体"/>
                <w:color w:val="000000"/>
                <w:sz w:val="24"/>
                <w:szCs w:val="24"/>
                <w:highlight w:val="none"/>
              </w:rPr>
              <w:t>营业执照</w:t>
            </w:r>
          </w:p>
        </w:tc>
        <w:tc>
          <w:tcPr>
            <w:tcW w:w="5785" w:type="dxa"/>
            <w:vAlign w:val="center"/>
          </w:tcPr>
          <w:p w14:paraId="607C32E9">
            <w:pPr>
              <w:pageBreakBefore w:val="0"/>
              <w:kinsoku/>
              <w:overflowPunct/>
              <w:topLinePunct w:val="0"/>
              <w:bidi w:val="0"/>
              <w:spacing w:line="360" w:lineRule="auto"/>
              <w:jc w:val="left"/>
              <w:outlineLvl w:val="9"/>
              <w:rPr>
                <w:rFonts w:hint="eastAsia" w:ascii="宋体" w:hAnsi="宋体" w:cs="宋体" w:eastAsiaTheme="minorEastAsia"/>
                <w:kern w:val="2"/>
                <w:sz w:val="24"/>
                <w:szCs w:val="24"/>
                <w:highlight w:val="none"/>
                <w:lang w:val="en-US" w:eastAsia="zh-CN" w:bidi="ar-SA"/>
              </w:rPr>
            </w:pPr>
            <w:r>
              <w:rPr>
                <w:rFonts w:hint="eastAsia" w:ascii="宋体" w:hAnsi="宋体" w:eastAsia="宋体" w:cs="宋体"/>
                <w:sz w:val="24"/>
                <w:szCs w:val="24"/>
                <w:highlight w:val="none"/>
                <w:lang w:eastAsia="zh-CN"/>
              </w:rPr>
              <w:t>供应商须具备独立法人资格，具有有效的营业执照</w:t>
            </w:r>
          </w:p>
        </w:tc>
      </w:tr>
      <w:tr w14:paraId="24954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 w:type="dxa"/>
            <w:vMerge w:val="continue"/>
            <w:tcMar>
              <w:left w:w="57" w:type="dxa"/>
              <w:right w:w="57" w:type="dxa"/>
            </w:tcMar>
            <w:vAlign w:val="center"/>
          </w:tcPr>
          <w:p w14:paraId="13BCF994">
            <w:pPr>
              <w:pageBreakBefore w:val="0"/>
              <w:kinsoku/>
              <w:overflowPunct/>
              <w:topLinePunct w:val="0"/>
              <w:bidi w:val="0"/>
              <w:spacing w:line="360" w:lineRule="auto"/>
              <w:jc w:val="center"/>
              <w:outlineLvl w:val="9"/>
              <w:rPr>
                <w:rFonts w:hint="eastAsia" w:ascii="宋体" w:hAnsi="宋体" w:cs="宋体"/>
                <w:sz w:val="24"/>
                <w:szCs w:val="24"/>
                <w:highlight w:val="none"/>
              </w:rPr>
            </w:pPr>
          </w:p>
        </w:tc>
        <w:tc>
          <w:tcPr>
            <w:tcW w:w="1276" w:type="dxa"/>
            <w:vMerge w:val="continue"/>
            <w:tcMar>
              <w:left w:w="57" w:type="dxa"/>
              <w:right w:w="57" w:type="dxa"/>
            </w:tcMar>
            <w:vAlign w:val="center"/>
          </w:tcPr>
          <w:p w14:paraId="1B4769B0">
            <w:pPr>
              <w:pageBreakBefore w:val="0"/>
              <w:kinsoku/>
              <w:overflowPunct/>
              <w:topLinePunct w:val="0"/>
              <w:bidi w:val="0"/>
              <w:spacing w:line="360" w:lineRule="auto"/>
              <w:jc w:val="center"/>
              <w:outlineLvl w:val="9"/>
              <w:rPr>
                <w:rFonts w:hint="eastAsia" w:ascii="宋体" w:hAnsi="宋体" w:cs="宋体"/>
                <w:sz w:val="24"/>
                <w:szCs w:val="24"/>
                <w:highlight w:val="none"/>
              </w:rPr>
            </w:pPr>
          </w:p>
        </w:tc>
        <w:tc>
          <w:tcPr>
            <w:tcW w:w="1830" w:type="dxa"/>
            <w:tcMar>
              <w:left w:w="57" w:type="dxa"/>
              <w:right w:w="57" w:type="dxa"/>
            </w:tcMar>
            <w:vAlign w:val="center"/>
          </w:tcPr>
          <w:p w14:paraId="58A1C849">
            <w:pPr>
              <w:pageBreakBefore w:val="0"/>
              <w:kinsoku/>
              <w:overflowPunct/>
              <w:topLinePunct w:val="0"/>
              <w:bidi w:val="0"/>
              <w:spacing w:line="360" w:lineRule="auto"/>
              <w:jc w:val="center"/>
              <w:outlineLvl w:val="9"/>
              <w:rPr>
                <w:rFonts w:hint="eastAsia" w:ascii="宋体" w:hAnsi="宋体" w:cs="宋体" w:eastAsiaTheme="minorEastAsia"/>
                <w:kern w:val="2"/>
                <w:sz w:val="24"/>
                <w:szCs w:val="24"/>
                <w:highlight w:val="none"/>
                <w:lang w:val="en-US" w:eastAsia="zh-CN" w:bidi="ar-SA"/>
              </w:rPr>
            </w:pPr>
            <w:r>
              <w:rPr>
                <w:rFonts w:hint="eastAsia" w:ascii="宋体" w:hAnsi="宋体" w:cs="宋体"/>
                <w:color w:val="auto"/>
                <w:sz w:val="24"/>
                <w:szCs w:val="22"/>
                <w:highlight w:val="none"/>
                <w:lang w:val="en-US" w:eastAsia="zh-CN"/>
              </w:rPr>
              <w:t>企业资质</w:t>
            </w:r>
          </w:p>
        </w:tc>
        <w:tc>
          <w:tcPr>
            <w:tcW w:w="5785" w:type="dxa"/>
            <w:vAlign w:val="center"/>
          </w:tcPr>
          <w:p w14:paraId="0478E79E">
            <w:pPr>
              <w:pageBreakBefore w:val="0"/>
              <w:kinsoku/>
              <w:overflowPunct/>
              <w:topLinePunct w:val="0"/>
              <w:bidi w:val="0"/>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sz w:val="24"/>
                <w:szCs w:val="24"/>
                <w:highlight w:val="none"/>
                <w:lang w:eastAsia="zh-CN"/>
              </w:rPr>
              <w:t>供应商须具备建设行政主管部门颁发的建筑工程施工总承包贰级（含贰级）或其以上资质，且具有有效的安全生产许可证</w:t>
            </w:r>
            <w:r>
              <w:rPr>
                <w:rFonts w:hint="eastAsia" w:ascii="宋体" w:hAnsi="宋体" w:eastAsia="宋体" w:cs="宋体"/>
                <w:color w:val="auto"/>
                <w:sz w:val="24"/>
                <w:szCs w:val="24"/>
                <w:highlight w:val="none"/>
                <w:lang w:eastAsia="zh-CN"/>
              </w:rPr>
              <w:t>；</w:t>
            </w:r>
          </w:p>
        </w:tc>
      </w:tr>
      <w:tr w14:paraId="13112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 w:type="dxa"/>
            <w:vMerge w:val="continue"/>
            <w:tcMar>
              <w:left w:w="57" w:type="dxa"/>
              <w:right w:w="57" w:type="dxa"/>
            </w:tcMar>
            <w:vAlign w:val="center"/>
          </w:tcPr>
          <w:p w14:paraId="251087A9">
            <w:pPr>
              <w:pageBreakBefore w:val="0"/>
              <w:kinsoku/>
              <w:overflowPunct/>
              <w:topLinePunct w:val="0"/>
              <w:bidi w:val="0"/>
              <w:spacing w:line="360" w:lineRule="auto"/>
              <w:jc w:val="center"/>
              <w:outlineLvl w:val="9"/>
              <w:rPr>
                <w:rFonts w:hint="eastAsia" w:ascii="宋体" w:hAnsi="宋体" w:cs="宋体"/>
                <w:sz w:val="24"/>
                <w:szCs w:val="24"/>
                <w:highlight w:val="none"/>
              </w:rPr>
            </w:pPr>
          </w:p>
        </w:tc>
        <w:tc>
          <w:tcPr>
            <w:tcW w:w="1276" w:type="dxa"/>
            <w:vMerge w:val="continue"/>
            <w:tcMar>
              <w:left w:w="57" w:type="dxa"/>
              <w:right w:w="57" w:type="dxa"/>
            </w:tcMar>
            <w:vAlign w:val="center"/>
          </w:tcPr>
          <w:p w14:paraId="5D22EF2D">
            <w:pPr>
              <w:pageBreakBefore w:val="0"/>
              <w:kinsoku/>
              <w:overflowPunct/>
              <w:topLinePunct w:val="0"/>
              <w:bidi w:val="0"/>
              <w:spacing w:line="360" w:lineRule="auto"/>
              <w:jc w:val="center"/>
              <w:outlineLvl w:val="9"/>
              <w:rPr>
                <w:rFonts w:hint="eastAsia" w:ascii="宋体" w:hAnsi="宋体" w:cs="宋体"/>
                <w:sz w:val="24"/>
                <w:szCs w:val="24"/>
                <w:highlight w:val="none"/>
              </w:rPr>
            </w:pPr>
          </w:p>
        </w:tc>
        <w:tc>
          <w:tcPr>
            <w:tcW w:w="1830" w:type="dxa"/>
            <w:tcMar>
              <w:left w:w="57" w:type="dxa"/>
              <w:right w:w="57" w:type="dxa"/>
            </w:tcMar>
            <w:vAlign w:val="center"/>
          </w:tcPr>
          <w:p w14:paraId="229ADD55">
            <w:pPr>
              <w:pageBreakBefore w:val="0"/>
              <w:kinsoku/>
              <w:overflowPunct/>
              <w:topLinePunct w:val="0"/>
              <w:bidi w:val="0"/>
              <w:spacing w:line="360" w:lineRule="auto"/>
              <w:jc w:val="center"/>
              <w:outlineLvl w:val="9"/>
              <w:rPr>
                <w:rFonts w:hint="eastAsia" w:ascii="宋体" w:hAnsi="宋体" w:cs="宋体"/>
                <w:color w:val="auto"/>
                <w:sz w:val="24"/>
                <w:szCs w:val="22"/>
                <w:highlight w:val="none"/>
                <w:lang w:val="en-US" w:eastAsia="zh-CN"/>
              </w:rPr>
            </w:pPr>
            <w:r>
              <w:rPr>
                <w:rFonts w:hint="eastAsia" w:ascii="宋体" w:hAnsi="宋体" w:eastAsia="宋体" w:cs="宋体"/>
                <w:color w:val="auto"/>
                <w:sz w:val="24"/>
                <w:highlight w:val="none"/>
              </w:rPr>
              <w:t>项目经理</w:t>
            </w:r>
          </w:p>
        </w:tc>
        <w:tc>
          <w:tcPr>
            <w:tcW w:w="5785" w:type="dxa"/>
            <w:vAlign w:val="center"/>
          </w:tcPr>
          <w:p w14:paraId="7C218991">
            <w:pPr>
              <w:pageBreakBefore w:val="0"/>
              <w:kinsoku/>
              <w:overflowPunct/>
              <w:topLinePunct w:val="0"/>
              <w:bidi w:val="0"/>
              <w:spacing w:line="360" w:lineRule="auto"/>
              <w:ind w:firstLine="480" w:firstLineChars="200"/>
              <w:jc w:val="left"/>
              <w:outlineLvl w:val="9"/>
              <w:rPr>
                <w:rFonts w:hint="eastAsia" w:ascii="宋体" w:hAnsi="宋体" w:eastAsia="宋体" w:cs="宋体"/>
                <w:sz w:val="24"/>
                <w:szCs w:val="24"/>
                <w:highlight w:val="none"/>
                <w:lang w:eastAsia="zh-CN"/>
              </w:rPr>
            </w:pPr>
            <w:r>
              <w:rPr>
                <w:rFonts w:hint="eastAsia" w:ascii="宋体" w:hAnsi="宋体" w:eastAsia="宋体" w:cs="宋体"/>
                <w:color w:val="auto"/>
                <w:sz w:val="24"/>
                <w:highlight w:val="none"/>
              </w:rPr>
              <w:t>拟派项目经理须具备</w:t>
            </w:r>
            <w:r>
              <w:rPr>
                <w:rFonts w:hint="eastAsia" w:ascii="宋体" w:hAnsi="宋体" w:eastAsia="宋体" w:cs="宋体"/>
                <w:color w:val="auto"/>
                <w:sz w:val="24"/>
                <w:highlight w:val="none"/>
                <w:lang w:eastAsia="zh-CN"/>
              </w:rPr>
              <w:t>建筑</w:t>
            </w:r>
            <w:r>
              <w:rPr>
                <w:rFonts w:hint="eastAsia" w:ascii="宋体" w:hAnsi="宋体" w:eastAsia="宋体" w:cs="宋体"/>
                <w:color w:val="auto"/>
                <w:sz w:val="24"/>
                <w:highlight w:val="none"/>
              </w:rPr>
              <w:t>工程专业贰级及以上注册建造师执业资格证书（不含临时），有效的安全生产考核合格证书，为本单位员工，并具有劳动合同及养老保险缴费证明，</w:t>
            </w:r>
            <w:r>
              <w:rPr>
                <w:rFonts w:hint="eastAsia" w:ascii="宋体" w:hAnsi="宋体" w:eastAsia="宋体" w:cs="宋体"/>
                <w:color w:val="auto"/>
                <w:sz w:val="24"/>
                <w:highlight w:val="none"/>
                <w:lang w:eastAsia="zh-CN"/>
              </w:rPr>
              <w:t>出具</w:t>
            </w:r>
            <w:r>
              <w:rPr>
                <w:rFonts w:hint="eastAsia" w:ascii="宋体" w:hAnsi="宋体" w:eastAsia="宋体" w:cs="宋体"/>
                <w:color w:val="auto"/>
                <w:sz w:val="24"/>
                <w:highlight w:val="none"/>
              </w:rPr>
              <w:t>无在建工程承诺书</w:t>
            </w:r>
            <w:r>
              <w:rPr>
                <w:rFonts w:hint="eastAsia" w:ascii="宋体" w:hAnsi="宋体" w:eastAsia="宋体" w:cs="宋体"/>
                <w:sz w:val="24"/>
                <w:szCs w:val="24"/>
                <w:highlight w:val="none"/>
                <w:lang w:val="en-US" w:eastAsia="zh-CN"/>
              </w:rPr>
              <w:t>；</w:t>
            </w:r>
          </w:p>
        </w:tc>
      </w:tr>
      <w:tr w14:paraId="51D3B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935" w:type="dxa"/>
            <w:vMerge w:val="continue"/>
            <w:tcMar>
              <w:left w:w="57" w:type="dxa"/>
              <w:right w:w="57" w:type="dxa"/>
            </w:tcMar>
            <w:vAlign w:val="center"/>
          </w:tcPr>
          <w:p w14:paraId="1C7AAC42">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6F61FBFF">
            <w:pPr>
              <w:pageBreakBefore w:val="0"/>
              <w:kinsoku/>
              <w:overflowPunct/>
              <w:topLinePunct w:val="0"/>
              <w:bidi w:val="0"/>
              <w:spacing w:line="360" w:lineRule="auto"/>
              <w:jc w:val="center"/>
              <w:outlineLvl w:val="9"/>
              <w:rPr>
                <w:rFonts w:ascii="宋体" w:hAnsi="宋体" w:cs="宋体"/>
                <w:sz w:val="24"/>
                <w:szCs w:val="24"/>
                <w:highlight w:val="none"/>
              </w:rPr>
            </w:pPr>
          </w:p>
        </w:tc>
        <w:tc>
          <w:tcPr>
            <w:tcW w:w="1830" w:type="dxa"/>
            <w:tcMar>
              <w:left w:w="57" w:type="dxa"/>
              <w:right w:w="57" w:type="dxa"/>
            </w:tcMar>
            <w:vAlign w:val="center"/>
          </w:tcPr>
          <w:p w14:paraId="5BA9ED6E">
            <w:pPr>
              <w:pageBreakBefore w:val="0"/>
              <w:kinsoku/>
              <w:overflowPunct/>
              <w:topLinePunct w:val="0"/>
              <w:bidi w:val="0"/>
              <w:spacing w:line="360" w:lineRule="auto"/>
              <w:jc w:val="center"/>
              <w:outlineLvl w:val="9"/>
              <w:rPr>
                <w:rFonts w:ascii="宋体" w:hAnsi="宋体" w:cs="宋体" w:eastAsiaTheme="minorEastAsia"/>
                <w:kern w:val="2"/>
                <w:sz w:val="24"/>
                <w:szCs w:val="24"/>
                <w:highlight w:val="none"/>
                <w:lang w:val="en-US" w:eastAsia="zh-CN" w:bidi="ar-SA"/>
              </w:rPr>
            </w:pPr>
            <w:r>
              <w:rPr>
                <w:rFonts w:hint="eastAsia" w:ascii="宋体" w:hAnsi="宋体" w:eastAsia="宋体" w:cs="宋体"/>
                <w:color w:val="000000"/>
                <w:sz w:val="24"/>
                <w:szCs w:val="24"/>
                <w:highlight w:val="none"/>
              </w:rPr>
              <w:t>无商业贿赂及无不正当竞争承诺</w:t>
            </w:r>
          </w:p>
        </w:tc>
        <w:tc>
          <w:tcPr>
            <w:tcW w:w="5785" w:type="dxa"/>
            <w:vAlign w:val="center"/>
          </w:tcPr>
          <w:p w14:paraId="41281287">
            <w:pPr>
              <w:pageBreakBefore w:val="0"/>
              <w:kinsoku/>
              <w:overflowPunct/>
              <w:topLinePunct w:val="0"/>
              <w:bidi w:val="0"/>
              <w:spacing w:line="360" w:lineRule="auto"/>
              <w:jc w:val="left"/>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供应商须自行出具本单位无商业贿赂及无不正当竞争行为的承诺书</w:t>
            </w:r>
            <w:r>
              <w:rPr>
                <w:rFonts w:hint="eastAsia"/>
                <w:sz w:val="24"/>
                <w:szCs w:val="24"/>
                <w:highlight w:val="none"/>
                <w:lang w:val="en-US" w:eastAsia="zh-CN"/>
              </w:rPr>
              <w:t>（承诺书格式自拟）</w:t>
            </w:r>
          </w:p>
        </w:tc>
      </w:tr>
      <w:tr w14:paraId="6276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935" w:type="dxa"/>
            <w:vMerge w:val="continue"/>
            <w:tcMar>
              <w:left w:w="57" w:type="dxa"/>
              <w:right w:w="57" w:type="dxa"/>
            </w:tcMar>
            <w:vAlign w:val="center"/>
          </w:tcPr>
          <w:p w14:paraId="3DD7C154">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43E782CD">
            <w:pPr>
              <w:pageBreakBefore w:val="0"/>
              <w:kinsoku/>
              <w:overflowPunct/>
              <w:topLinePunct w:val="0"/>
              <w:bidi w:val="0"/>
              <w:spacing w:line="360" w:lineRule="auto"/>
              <w:jc w:val="center"/>
              <w:outlineLvl w:val="9"/>
              <w:rPr>
                <w:rFonts w:ascii="宋体" w:hAnsi="宋体" w:cs="宋体"/>
                <w:sz w:val="24"/>
                <w:szCs w:val="24"/>
                <w:highlight w:val="none"/>
              </w:rPr>
            </w:pPr>
          </w:p>
        </w:tc>
        <w:tc>
          <w:tcPr>
            <w:tcW w:w="1830" w:type="dxa"/>
            <w:tcMar>
              <w:left w:w="57" w:type="dxa"/>
              <w:right w:w="57" w:type="dxa"/>
            </w:tcMar>
            <w:vAlign w:val="center"/>
          </w:tcPr>
          <w:p w14:paraId="6F4F61C6">
            <w:pPr>
              <w:pageBreakBefore w:val="0"/>
              <w:kinsoku/>
              <w:overflowPunct/>
              <w:topLinePunct w:val="0"/>
              <w:bidi w:val="0"/>
              <w:spacing w:line="360" w:lineRule="auto"/>
              <w:jc w:val="center"/>
              <w:outlineLvl w:val="9"/>
              <w:rPr>
                <w:rFonts w:ascii="宋体" w:hAnsi="宋体" w:cs="宋体" w:eastAsiaTheme="minorEastAsia"/>
                <w:kern w:val="2"/>
                <w:sz w:val="24"/>
                <w:szCs w:val="24"/>
                <w:highlight w:val="none"/>
                <w:lang w:val="en-US" w:eastAsia="zh-CN" w:bidi="ar-SA"/>
              </w:rPr>
            </w:pPr>
            <w:r>
              <w:rPr>
                <w:rFonts w:hint="eastAsia" w:ascii="宋体" w:hAnsi="宋体" w:eastAsia="宋体" w:cs="宋体"/>
                <w:color w:val="000000"/>
                <w:sz w:val="24"/>
                <w:szCs w:val="24"/>
                <w:highlight w:val="none"/>
              </w:rPr>
              <w:t>信用查询</w:t>
            </w:r>
          </w:p>
        </w:tc>
        <w:tc>
          <w:tcPr>
            <w:tcW w:w="5785" w:type="dxa"/>
            <w:vAlign w:val="center"/>
          </w:tcPr>
          <w:p w14:paraId="609622F8">
            <w:pPr>
              <w:pageBreakBefore w:val="0"/>
              <w:kinsoku/>
              <w:overflowPunct/>
              <w:topLinePunct w:val="0"/>
              <w:bidi w:val="0"/>
              <w:spacing w:line="360" w:lineRule="auto"/>
              <w:jc w:val="left"/>
              <w:outlineLvl w:val="9"/>
              <w:rPr>
                <w:rFonts w:ascii="宋体" w:hAnsi="宋体" w:cs="宋体" w:eastAsiaTheme="minorEastAsia"/>
                <w:kern w:val="2"/>
                <w:sz w:val="24"/>
                <w:szCs w:val="22"/>
                <w:highlight w:val="none"/>
                <w:lang w:val="en-US" w:eastAsia="zh-CN" w:bidi="ar-SA"/>
              </w:rPr>
            </w:pPr>
            <w:r>
              <w:rPr>
                <w:rFonts w:hint="eastAsia" w:ascii="宋体" w:hAnsi="宋体" w:eastAsia="宋体" w:cs="宋体"/>
                <w:sz w:val="24"/>
                <w:szCs w:val="24"/>
                <w:highlight w:val="none"/>
                <w:lang w:val="en-US" w:eastAsia="zh-CN"/>
              </w:rPr>
              <w:t>根据</w:t>
            </w:r>
            <w:r>
              <w:rPr>
                <w:rFonts w:hint="eastAsia" w:ascii="宋体" w:hAnsi="宋体" w:eastAsia="宋体" w:cs="宋体"/>
                <w:sz w:val="24"/>
                <w:highlight w:val="none"/>
                <w:lang w:val="en-US" w:eastAsia="zh-CN"/>
              </w:rPr>
              <w:t>《关于在政府采购活动中查询及使用信用记录有关问题的通知》(财库[2016]125号)和豫财购【2016】15号的规定，对列入失信被执行人、重大税收违法失信主体、政府采购严重违法失信行为记录名单的</w:t>
            </w:r>
            <w:r>
              <w:rPr>
                <w:rFonts w:hint="eastAsia" w:ascii="宋体" w:hAnsi="宋体" w:cs="宋体"/>
                <w:sz w:val="24"/>
                <w:highlight w:val="none"/>
                <w:lang w:val="en-US" w:eastAsia="zh-CN"/>
              </w:rPr>
              <w:t>供应商</w:t>
            </w:r>
            <w:r>
              <w:rPr>
                <w:rFonts w:hint="eastAsia" w:ascii="宋体" w:hAnsi="宋体" w:eastAsia="宋体" w:cs="宋体"/>
                <w:sz w:val="24"/>
                <w:highlight w:val="none"/>
                <w:lang w:val="en-US" w:eastAsia="zh-CN"/>
              </w:rPr>
              <w:t>，拒绝参与本项目采购活动；查询渠道：①中国执行信息公开网（http://zxgk.court.gov.cn）查询内容：失信被执行人；②“信用中国”网站（www.creditchina.gov.cn），查询内容：重大税收违法失信主体；③中国政府采购网（www.ccgp.gov.cn）查询内容：政府采购严重违法失信行为记录名单。供应商须提供中国执行信息公开网查询页、信用中国查询页、中国政府采购网查询页的查询结果截图，</w:t>
            </w:r>
            <w:r>
              <w:rPr>
                <w:rFonts w:hint="eastAsia" w:ascii="宋体" w:hAnsi="宋体" w:eastAsia="宋体" w:cs="宋体"/>
                <w:b/>
                <w:bCs/>
                <w:sz w:val="24"/>
                <w:highlight w:val="none"/>
                <w:lang w:val="en-US" w:eastAsia="zh-CN"/>
              </w:rPr>
              <w:t>查询日期为本公告发布之日起，网站截图应含有日期且显示查询结果</w:t>
            </w:r>
            <w:r>
              <w:rPr>
                <w:rFonts w:hint="eastAsia" w:ascii="宋体" w:hAnsi="宋体" w:eastAsia="宋体" w:cs="宋体"/>
                <w:b/>
                <w:bCs/>
                <w:color w:val="auto"/>
                <w:sz w:val="24"/>
                <w:highlight w:val="none"/>
                <w:lang w:val="en-US" w:eastAsia="zh-CN"/>
              </w:rPr>
              <w:t>；</w:t>
            </w:r>
          </w:p>
        </w:tc>
      </w:tr>
      <w:tr w14:paraId="7142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935" w:type="dxa"/>
            <w:vMerge w:val="continue"/>
            <w:tcMar>
              <w:left w:w="57" w:type="dxa"/>
              <w:right w:w="57" w:type="dxa"/>
            </w:tcMar>
            <w:vAlign w:val="center"/>
          </w:tcPr>
          <w:p w14:paraId="65D5038D">
            <w:pPr>
              <w:pageBreakBefore w:val="0"/>
              <w:kinsoku/>
              <w:overflowPunct/>
              <w:topLinePunct w:val="0"/>
              <w:bidi w:val="0"/>
              <w:spacing w:line="360" w:lineRule="auto"/>
              <w:outlineLvl w:val="9"/>
              <w:rPr>
                <w:rFonts w:ascii="宋体" w:hAnsi="宋体" w:cs="宋体"/>
                <w:sz w:val="24"/>
                <w:szCs w:val="24"/>
                <w:highlight w:val="none"/>
              </w:rPr>
            </w:pPr>
          </w:p>
        </w:tc>
        <w:tc>
          <w:tcPr>
            <w:tcW w:w="1276" w:type="dxa"/>
            <w:vMerge w:val="continue"/>
            <w:tcMar>
              <w:left w:w="57" w:type="dxa"/>
              <w:right w:w="57" w:type="dxa"/>
            </w:tcMar>
            <w:vAlign w:val="center"/>
          </w:tcPr>
          <w:p w14:paraId="09B899D3">
            <w:pPr>
              <w:pageBreakBefore w:val="0"/>
              <w:kinsoku/>
              <w:overflowPunct/>
              <w:topLinePunct w:val="0"/>
              <w:bidi w:val="0"/>
              <w:spacing w:line="360" w:lineRule="auto"/>
              <w:jc w:val="center"/>
              <w:outlineLvl w:val="9"/>
              <w:rPr>
                <w:rFonts w:ascii="宋体" w:hAnsi="宋体" w:cs="宋体"/>
                <w:sz w:val="24"/>
                <w:szCs w:val="24"/>
                <w:highlight w:val="none"/>
              </w:rPr>
            </w:pPr>
          </w:p>
        </w:tc>
        <w:tc>
          <w:tcPr>
            <w:tcW w:w="1830" w:type="dxa"/>
            <w:tcMar>
              <w:left w:w="57" w:type="dxa"/>
              <w:right w:w="57" w:type="dxa"/>
            </w:tcMar>
            <w:vAlign w:val="center"/>
          </w:tcPr>
          <w:p w14:paraId="5F64643D">
            <w:pPr>
              <w:pageBreakBefore w:val="0"/>
              <w:kinsoku/>
              <w:overflowPunct/>
              <w:topLinePunct w:val="0"/>
              <w:bidi w:val="0"/>
              <w:spacing w:line="360" w:lineRule="auto"/>
              <w:jc w:val="center"/>
              <w:outlineLvl w:val="9"/>
              <w:rPr>
                <w:rFonts w:hint="eastAsia" w:ascii="宋体" w:hAnsi="宋体" w:cs="宋体" w:eastAsiaTheme="minorEastAsia"/>
                <w:kern w:val="2"/>
                <w:sz w:val="24"/>
                <w:szCs w:val="24"/>
                <w:highlight w:val="none"/>
                <w:lang w:val="en-US" w:eastAsia="zh-CN" w:bidi="ar-SA"/>
              </w:rPr>
            </w:pPr>
            <w:r>
              <w:rPr>
                <w:rFonts w:hint="eastAsia" w:ascii="宋体" w:hAnsi="宋体" w:cs="宋体"/>
                <w:sz w:val="24"/>
                <w:highlight w:val="none"/>
              </w:rPr>
              <w:t>国家企业信用信息公示系统</w:t>
            </w:r>
            <w:r>
              <w:rPr>
                <w:rFonts w:hint="eastAsia" w:ascii="宋体" w:hAnsi="宋体" w:cs="宋体"/>
                <w:sz w:val="24"/>
                <w:highlight w:val="none"/>
                <w:lang w:eastAsia="zh-CN"/>
              </w:rPr>
              <w:t>查询</w:t>
            </w:r>
          </w:p>
        </w:tc>
        <w:tc>
          <w:tcPr>
            <w:tcW w:w="5785" w:type="dxa"/>
            <w:vAlign w:val="center"/>
          </w:tcPr>
          <w:p w14:paraId="34E52480">
            <w:pPr>
              <w:pageBreakBefore w:val="0"/>
              <w:kinsoku/>
              <w:overflowPunct/>
              <w:topLinePunct w:val="0"/>
              <w:bidi w:val="0"/>
              <w:spacing w:line="360" w:lineRule="auto"/>
              <w:jc w:val="left"/>
              <w:outlineLvl w:val="9"/>
              <w:rPr>
                <w:rFonts w:ascii="宋体" w:hAnsi="宋体" w:cs="宋体" w:eastAsiaTheme="minorEastAsia"/>
                <w:kern w:val="2"/>
                <w:sz w:val="24"/>
                <w:szCs w:val="24"/>
                <w:highlight w:val="none"/>
                <w:lang w:val="en-US" w:eastAsia="zh-CN" w:bidi="ar-SA"/>
              </w:rPr>
            </w:pPr>
            <w:r>
              <w:rPr>
                <w:rFonts w:hint="eastAsia" w:ascii="宋体" w:hAnsi="宋体" w:cs="宋体"/>
                <w:sz w:val="24"/>
                <w:highlight w:val="none"/>
              </w:rPr>
              <w:t>单位负责人为同一人或者存在直接控股、管理关系的不同</w:t>
            </w:r>
            <w:r>
              <w:rPr>
                <w:rFonts w:hint="eastAsia" w:ascii="宋体" w:hAnsi="宋体" w:cs="宋体"/>
                <w:sz w:val="24"/>
                <w:highlight w:val="none"/>
                <w:lang w:eastAsia="zh-CN"/>
              </w:rPr>
              <w:t>供应商</w:t>
            </w:r>
            <w:r>
              <w:rPr>
                <w:rFonts w:hint="eastAsia" w:ascii="宋体" w:hAnsi="宋体" w:cs="宋体"/>
                <w:sz w:val="24"/>
                <w:highlight w:val="none"/>
              </w:rPr>
              <w:t>，不得同时参加本次</w:t>
            </w:r>
            <w:r>
              <w:rPr>
                <w:rFonts w:hint="eastAsia" w:ascii="宋体" w:hAnsi="宋体" w:cs="宋体"/>
                <w:sz w:val="24"/>
                <w:highlight w:val="none"/>
                <w:lang w:eastAsia="zh-CN"/>
              </w:rPr>
              <w:t>采购</w:t>
            </w:r>
            <w:r>
              <w:rPr>
                <w:rFonts w:hint="eastAsia" w:ascii="宋体" w:hAnsi="宋体" w:cs="宋体"/>
                <w:sz w:val="24"/>
                <w:highlight w:val="none"/>
              </w:rPr>
              <w:t>活动，须提供国家企业信用信息公示系统（网址http://www.gsxt.gov.cn/）公示的企业信息网页截图，至少应包含股东信息，</w:t>
            </w:r>
            <w:r>
              <w:rPr>
                <w:rFonts w:hint="eastAsia" w:ascii="宋体" w:hAnsi="宋体" w:cs="宋体"/>
                <w:b/>
                <w:bCs/>
                <w:sz w:val="24"/>
                <w:highlight w:val="none"/>
              </w:rPr>
              <w:t>查询日期为本公告发布之日起，网站截图应含有日期且显示查询结果</w:t>
            </w:r>
          </w:p>
        </w:tc>
      </w:tr>
      <w:tr w14:paraId="74880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935" w:type="dxa"/>
            <w:vMerge w:val="continue"/>
            <w:tcMar>
              <w:left w:w="57" w:type="dxa"/>
              <w:right w:w="57" w:type="dxa"/>
            </w:tcMar>
            <w:vAlign w:val="center"/>
          </w:tcPr>
          <w:p w14:paraId="611B6FA8">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316B0934">
            <w:pPr>
              <w:pageBreakBefore w:val="0"/>
              <w:kinsoku/>
              <w:overflowPunct/>
              <w:topLinePunct w:val="0"/>
              <w:bidi w:val="0"/>
              <w:spacing w:line="360" w:lineRule="auto"/>
              <w:jc w:val="center"/>
              <w:outlineLvl w:val="9"/>
              <w:rPr>
                <w:rFonts w:ascii="宋体" w:hAnsi="宋体" w:cs="宋体"/>
                <w:sz w:val="24"/>
                <w:szCs w:val="24"/>
                <w:highlight w:val="none"/>
              </w:rPr>
            </w:pPr>
          </w:p>
        </w:tc>
        <w:tc>
          <w:tcPr>
            <w:tcW w:w="1830" w:type="dxa"/>
            <w:tcMar>
              <w:left w:w="57" w:type="dxa"/>
              <w:right w:w="57" w:type="dxa"/>
            </w:tcMar>
            <w:vAlign w:val="center"/>
          </w:tcPr>
          <w:p w14:paraId="1E88ABBD">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sz w:val="24"/>
                <w:szCs w:val="24"/>
                <w:highlight w:val="none"/>
                <w:lang w:val="en-US" w:eastAsia="zh-CN"/>
              </w:rPr>
              <w:t>非联合体磋商</w:t>
            </w:r>
          </w:p>
        </w:tc>
        <w:tc>
          <w:tcPr>
            <w:tcW w:w="5785" w:type="dxa"/>
            <w:vAlign w:val="center"/>
          </w:tcPr>
          <w:p w14:paraId="7DAC3D3F">
            <w:pPr>
              <w:pageBreakBefore w:val="0"/>
              <w:kinsoku/>
              <w:overflowPunct/>
              <w:topLinePunct w:val="0"/>
              <w:bidi w:val="0"/>
              <w:spacing w:line="360" w:lineRule="auto"/>
              <w:jc w:val="left"/>
              <w:outlineLvl w:val="9"/>
              <w:rPr>
                <w:rFonts w:ascii="宋体" w:hAnsi="宋体" w:cs="宋体"/>
                <w:sz w:val="24"/>
                <w:szCs w:val="24"/>
                <w:highlight w:val="none"/>
              </w:rPr>
            </w:pPr>
            <w:r>
              <w:rPr>
                <w:rFonts w:hint="eastAsia" w:ascii="宋体" w:hAnsi="宋体" w:eastAsia="宋体" w:cs="宋体"/>
                <w:sz w:val="24"/>
                <w:szCs w:val="24"/>
                <w:highlight w:val="none"/>
              </w:rPr>
              <w:t>本项目不接受联合体磋商</w:t>
            </w:r>
            <w:r>
              <w:rPr>
                <w:rFonts w:hint="eastAsia" w:ascii="宋体" w:hAnsi="宋体" w:eastAsia="宋体" w:cs="宋体"/>
                <w:sz w:val="24"/>
                <w:szCs w:val="24"/>
                <w:highlight w:val="none"/>
                <w:lang w:eastAsia="zh-CN"/>
              </w:rPr>
              <w:t>，</w:t>
            </w:r>
            <w:r>
              <w:rPr>
                <w:rFonts w:hint="eastAsia"/>
                <w:sz w:val="24"/>
                <w:szCs w:val="24"/>
                <w:highlight w:val="none"/>
                <w:lang w:val="en-US" w:eastAsia="zh-CN"/>
              </w:rPr>
              <w:t>供应商须提供非联合体承诺书（承诺书格式自拟）</w:t>
            </w:r>
          </w:p>
        </w:tc>
      </w:tr>
      <w:tr w14:paraId="11F0B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935" w:type="dxa"/>
            <w:vMerge w:val="restart"/>
            <w:tcMar>
              <w:left w:w="57" w:type="dxa"/>
              <w:right w:w="57" w:type="dxa"/>
            </w:tcMar>
            <w:vAlign w:val="center"/>
          </w:tcPr>
          <w:p w14:paraId="398ECACC">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2.1.3</w:t>
            </w:r>
          </w:p>
        </w:tc>
        <w:tc>
          <w:tcPr>
            <w:tcW w:w="1276" w:type="dxa"/>
            <w:vMerge w:val="restart"/>
            <w:tcMar>
              <w:left w:w="57" w:type="dxa"/>
              <w:right w:w="57" w:type="dxa"/>
            </w:tcMar>
            <w:vAlign w:val="center"/>
          </w:tcPr>
          <w:p w14:paraId="7DA2725B">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响应性评审标准</w:t>
            </w:r>
          </w:p>
        </w:tc>
        <w:tc>
          <w:tcPr>
            <w:tcW w:w="1830" w:type="dxa"/>
            <w:tcMar>
              <w:left w:w="57" w:type="dxa"/>
              <w:right w:w="57" w:type="dxa"/>
            </w:tcMar>
            <w:vAlign w:val="center"/>
          </w:tcPr>
          <w:p w14:paraId="14B48DA5">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eastAsia="宋体" w:cs="宋体"/>
                <w:color w:val="000000"/>
                <w:sz w:val="24"/>
                <w:szCs w:val="24"/>
                <w:highlight w:val="none"/>
                <w:lang w:eastAsia="zh-CN"/>
              </w:rPr>
              <w:t>磋商范围</w:t>
            </w:r>
          </w:p>
        </w:tc>
        <w:tc>
          <w:tcPr>
            <w:tcW w:w="5785" w:type="dxa"/>
            <w:vAlign w:val="center"/>
          </w:tcPr>
          <w:p w14:paraId="4BF0158D">
            <w:pPr>
              <w:pageBreakBefore w:val="0"/>
              <w:kinsoku/>
              <w:overflowPunct/>
              <w:topLinePunct w:val="0"/>
              <w:bidi w:val="0"/>
              <w:spacing w:line="360" w:lineRule="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施工图纸、磋商文件和工程量清单标示的全部内容</w:t>
            </w:r>
          </w:p>
        </w:tc>
      </w:tr>
      <w:tr w14:paraId="01529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35" w:type="dxa"/>
            <w:vMerge w:val="continue"/>
            <w:tcMar>
              <w:left w:w="57" w:type="dxa"/>
              <w:right w:w="57" w:type="dxa"/>
            </w:tcMar>
            <w:vAlign w:val="center"/>
          </w:tcPr>
          <w:p w14:paraId="4812F26F">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1EC1C8A0">
            <w:pPr>
              <w:pageBreakBefore w:val="0"/>
              <w:kinsoku/>
              <w:overflowPunct/>
              <w:topLinePunct w:val="0"/>
              <w:bidi w:val="0"/>
              <w:spacing w:line="360" w:lineRule="auto"/>
              <w:jc w:val="center"/>
              <w:outlineLvl w:val="9"/>
              <w:rPr>
                <w:rFonts w:ascii="宋体" w:hAnsi="宋体" w:cs="宋体"/>
                <w:sz w:val="24"/>
                <w:szCs w:val="24"/>
                <w:highlight w:val="none"/>
              </w:rPr>
            </w:pPr>
          </w:p>
        </w:tc>
        <w:tc>
          <w:tcPr>
            <w:tcW w:w="1830" w:type="dxa"/>
            <w:tcMar>
              <w:left w:w="57" w:type="dxa"/>
              <w:right w:w="57" w:type="dxa"/>
            </w:tcMar>
            <w:vAlign w:val="center"/>
          </w:tcPr>
          <w:p w14:paraId="3E44711E">
            <w:pPr>
              <w:pageBreakBefore w:val="0"/>
              <w:kinsoku/>
              <w:overflowPunct/>
              <w:topLinePunct w:val="0"/>
              <w:bidi w:val="0"/>
              <w:spacing w:line="360" w:lineRule="auto"/>
              <w:jc w:val="center"/>
              <w:outlineLvl w:val="9"/>
              <w:rPr>
                <w:rFonts w:hint="eastAsia" w:ascii="宋体" w:hAnsi="宋体" w:cs="宋体" w:eastAsiaTheme="minorEastAsia"/>
                <w:sz w:val="24"/>
                <w:szCs w:val="24"/>
                <w:highlight w:val="none"/>
                <w:lang w:eastAsia="zh-CN"/>
              </w:rPr>
            </w:pPr>
            <w:r>
              <w:rPr>
                <w:rFonts w:hint="eastAsia" w:ascii="宋体" w:hAnsi="宋体" w:eastAsia="宋体" w:cs="宋体"/>
                <w:color w:val="000000"/>
                <w:sz w:val="24"/>
                <w:szCs w:val="24"/>
                <w:highlight w:val="none"/>
                <w:lang w:val="en-US" w:eastAsia="zh-CN"/>
              </w:rPr>
              <w:t>工</w:t>
            </w:r>
            <w:r>
              <w:rPr>
                <w:rFonts w:hint="eastAsia" w:ascii="宋体" w:hAnsi="宋体" w:eastAsia="宋体" w:cs="宋体"/>
                <w:color w:val="000000"/>
                <w:sz w:val="24"/>
                <w:szCs w:val="24"/>
                <w:highlight w:val="none"/>
                <w:lang w:eastAsia="zh-CN"/>
              </w:rPr>
              <w:t>期</w:t>
            </w:r>
          </w:p>
        </w:tc>
        <w:tc>
          <w:tcPr>
            <w:tcW w:w="5785" w:type="dxa"/>
            <w:vAlign w:val="center"/>
          </w:tcPr>
          <w:p w14:paraId="7F7D1117">
            <w:pPr>
              <w:pageBreakBefore w:val="0"/>
              <w:kinsoku/>
              <w:overflowPunct/>
              <w:topLinePunct w:val="0"/>
              <w:bidi w:val="0"/>
              <w:spacing w:line="360" w:lineRule="auto"/>
              <w:outlineLvl w:val="9"/>
              <w:rPr>
                <w:rFonts w:hint="default" w:ascii="宋体" w:hAnsi="宋体" w:cs="宋体"/>
                <w:sz w:val="24"/>
                <w:szCs w:val="24"/>
                <w:highlight w:val="none"/>
                <w:lang w:val="en-US"/>
              </w:rPr>
            </w:pPr>
            <w:r>
              <w:rPr>
                <w:rFonts w:hint="eastAsia" w:ascii="宋体" w:hAnsi="宋体" w:eastAsia="宋体" w:cs="宋体"/>
                <w:color w:val="000000"/>
                <w:sz w:val="24"/>
                <w:szCs w:val="24"/>
                <w:highlight w:val="none"/>
                <w:lang w:val="en-US" w:eastAsia="zh-CN"/>
              </w:rPr>
              <w:t xml:space="preserve">     40日历天</w:t>
            </w:r>
          </w:p>
        </w:tc>
      </w:tr>
      <w:tr w14:paraId="2DC22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935" w:type="dxa"/>
            <w:vMerge w:val="continue"/>
            <w:tcMar>
              <w:left w:w="57" w:type="dxa"/>
              <w:right w:w="57" w:type="dxa"/>
            </w:tcMar>
            <w:vAlign w:val="center"/>
          </w:tcPr>
          <w:p w14:paraId="2A4AE3F0">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317D4962">
            <w:pPr>
              <w:pageBreakBefore w:val="0"/>
              <w:kinsoku/>
              <w:overflowPunct/>
              <w:topLinePunct w:val="0"/>
              <w:bidi w:val="0"/>
              <w:spacing w:line="360" w:lineRule="auto"/>
              <w:jc w:val="center"/>
              <w:outlineLvl w:val="9"/>
              <w:rPr>
                <w:rFonts w:ascii="宋体" w:hAnsi="宋体" w:cs="宋体"/>
                <w:sz w:val="24"/>
                <w:szCs w:val="24"/>
                <w:highlight w:val="none"/>
              </w:rPr>
            </w:pPr>
          </w:p>
        </w:tc>
        <w:tc>
          <w:tcPr>
            <w:tcW w:w="1830" w:type="dxa"/>
            <w:tcMar>
              <w:left w:w="57" w:type="dxa"/>
              <w:right w:w="57" w:type="dxa"/>
            </w:tcMar>
            <w:vAlign w:val="center"/>
          </w:tcPr>
          <w:p w14:paraId="00CE0408">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eastAsia="宋体" w:cs="宋体"/>
                <w:color w:val="000000"/>
                <w:sz w:val="24"/>
                <w:szCs w:val="24"/>
                <w:highlight w:val="none"/>
              </w:rPr>
              <w:t>质量要求</w:t>
            </w:r>
          </w:p>
        </w:tc>
        <w:tc>
          <w:tcPr>
            <w:tcW w:w="5785" w:type="dxa"/>
            <w:vAlign w:val="center"/>
          </w:tcPr>
          <w:p w14:paraId="7375DE06">
            <w:pPr>
              <w:pageBreakBefore w:val="0"/>
              <w:kinsoku/>
              <w:overflowPunct/>
              <w:topLinePunct w:val="0"/>
              <w:bidi w:val="0"/>
              <w:spacing w:line="360" w:lineRule="auto"/>
              <w:outlineLvl w:val="9"/>
              <w:rPr>
                <w:rFonts w:ascii="宋体" w:hAnsi="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olor w:val="auto"/>
                <w:sz w:val="24"/>
                <w:szCs w:val="24"/>
                <w:highlight w:val="none"/>
                <w:lang w:val="en-US" w:eastAsia="zh-CN"/>
              </w:rPr>
              <w:t>合格，符合国家有关行业标准和相关法律法规规定</w:t>
            </w:r>
          </w:p>
        </w:tc>
      </w:tr>
      <w:tr w14:paraId="4939D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935" w:type="dxa"/>
            <w:vMerge w:val="continue"/>
            <w:tcMar>
              <w:left w:w="57" w:type="dxa"/>
              <w:right w:w="57" w:type="dxa"/>
            </w:tcMar>
            <w:vAlign w:val="center"/>
          </w:tcPr>
          <w:p w14:paraId="245A4C27">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31DA8E25">
            <w:pPr>
              <w:pageBreakBefore w:val="0"/>
              <w:kinsoku/>
              <w:overflowPunct/>
              <w:topLinePunct w:val="0"/>
              <w:bidi w:val="0"/>
              <w:spacing w:line="360" w:lineRule="auto"/>
              <w:jc w:val="center"/>
              <w:outlineLvl w:val="9"/>
              <w:rPr>
                <w:rFonts w:ascii="宋体" w:hAnsi="宋体" w:cs="宋体"/>
                <w:sz w:val="24"/>
                <w:szCs w:val="24"/>
                <w:highlight w:val="none"/>
              </w:rPr>
            </w:pPr>
          </w:p>
        </w:tc>
        <w:tc>
          <w:tcPr>
            <w:tcW w:w="1830" w:type="dxa"/>
            <w:tcMar>
              <w:left w:w="57" w:type="dxa"/>
              <w:right w:w="57" w:type="dxa"/>
            </w:tcMar>
            <w:vAlign w:val="center"/>
          </w:tcPr>
          <w:p w14:paraId="25F8C527">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eastAsia="宋体" w:cs="宋体"/>
                <w:color w:val="000000"/>
                <w:sz w:val="24"/>
                <w:szCs w:val="24"/>
                <w:highlight w:val="none"/>
              </w:rPr>
              <w:t>磋商有效期</w:t>
            </w:r>
          </w:p>
        </w:tc>
        <w:tc>
          <w:tcPr>
            <w:tcW w:w="5785" w:type="dxa"/>
            <w:vAlign w:val="center"/>
          </w:tcPr>
          <w:p w14:paraId="713DF331">
            <w:pPr>
              <w:pageBreakBefore w:val="0"/>
              <w:kinsoku/>
              <w:overflowPunct/>
              <w:topLinePunct w:val="0"/>
              <w:bidi w:val="0"/>
              <w:spacing w:line="360" w:lineRule="auto"/>
              <w:outlineLvl w:val="9"/>
              <w:rPr>
                <w:rFonts w:ascii="宋体" w:hAnsi="宋体" w:cs="宋体"/>
                <w:sz w:val="24"/>
                <w:szCs w:val="24"/>
                <w:highlight w:val="none"/>
              </w:rPr>
            </w:pPr>
            <w:r>
              <w:rPr>
                <w:rFonts w:hint="eastAsia" w:ascii="宋体" w:hAnsi="宋体" w:cs="宋体"/>
                <w:kern w:val="10"/>
                <w:sz w:val="24"/>
                <w:szCs w:val="24"/>
                <w:highlight w:val="none"/>
              </w:rPr>
              <w:t>提交响应文件截止时间后60日历天，有效期短于该期限的</w:t>
            </w:r>
            <w:r>
              <w:rPr>
                <w:rFonts w:hint="eastAsia" w:ascii="宋体" w:hAnsi="宋体" w:cs="宋体"/>
                <w:spacing w:val="-11"/>
                <w:sz w:val="24"/>
                <w:szCs w:val="24"/>
                <w:highlight w:val="none"/>
              </w:rPr>
              <w:t>响应文件</w:t>
            </w:r>
            <w:r>
              <w:rPr>
                <w:rFonts w:hint="eastAsia" w:ascii="宋体" w:hAnsi="宋体" w:cs="宋体"/>
                <w:kern w:val="10"/>
                <w:sz w:val="24"/>
                <w:szCs w:val="24"/>
                <w:highlight w:val="none"/>
              </w:rPr>
              <w:t>将被拒绝</w:t>
            </w:r>
          </w:p>
        </w:tc>
      </w:tr>
      <w:tr w14:paraId="25D11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935" w:type="dxa"/>
            <w:vMerge w:val="continue"/>
            <w:tcMar>
              <w:left w:w="57" w:type="dxa"/>
              <w:right w:w="57" w:type="dxa"/>
            </w:tcMar>
            <w:vAlign w:val="center"/>
          </w:tcPr>
          <w:p w14:paraId="559CD263">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61068506">
            <w:pPr>
              <w:pageBreakBefore w:val="0"/>
              <w:kinsoku/>
              <w:overflowPunct/>
              <w:topLinePunct w:val="0"/>
              <w:bidi w:val="0"/>
              <w:spacing w:line="360" w:lineRule="auto"/>
              <w:jc w:val="center"/>
              <w:outlineLvl w:val="9"/>
              <w:rPr>
                <w:rFonts w:ascii="宋体" w:hAnsi="宋体" w:cs="宋体"/>
                <w:sz w:val="24"/>
                <w:szCs w:val="24"/>
                <w:highlight w:val="none"/>
              </w:rPr>
            </w:pPr>
          </w:p>
        </w:tc>
        <w:tc>
          <w:tcPr>
            <w:tcW w:w="1830" w:type="dxa"/>
            <w:tcMar>
              <w:left w:w="57" w:type="dxa"/>
              <w:right w:w="57" w:type="dxa"/>
            </w:tcMar>
            <w:vAlign w:val="center"/>
          </w:tcPr>
          <w:p w14:paraId="1C49981F">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eastAsia="宋体" w:cs="宋体"/>
                <w:color w:val="000000"/>
                <w:sz w:val="24"/>
                <w:szCs w:val="24"/>
                <w:highlight w:val="none"/>
              </w:rPr>
              <w:t>磋商价格</w:t>
            </w:r>
          </w:p>
        </w:tc>
        <w:tc>
          <w:tcPr>
            <w:tcW w:w="5785" w:type="dxa"/>
            <w:vAlign w:val="center"/>
          </w:tcPr>
          <w:p w14:paraId="24BC848A">
            <w:pPr>
              <w:pageBreakBefore w:val="0"/>
              <w:kinsoku/>
              <w:overflowPunct/>
              <w:topLinePunct w:val="0"/>
              <w:bidi w:val="0"/>
              <w:spacing w:line="360" w:lineRule="auto"/>
              <w:outlineLvl w:val="9"/>
              <w:rPr>
                <w:rFonts w:ascii="宋体" w:hAnsi="宋体" w:cs="宋体"/>
                <w:sz w:val="24"/>
                <w:szCs w:val="24"/>
                <w:highlight w:val="none"/>
              </w:rPr>
            </w:pPr>
            <w:r>
              <w:rPr>
                <w:rFonts w:hint="eastAsia" w:ascii="宋体" w:hAnsi="宋体" w:cs="宋体"/>
                <w:bCs/>
                <w:sz w:val="24"/>
                <w:szCs w:val="24"/>
                <w:highlight w:val="none"/>
              </w:rPr>
              <w:t>本次磋商采用二轮（最终）报价法，供应商递交的响应文件中的报价为第一轮报价，</w:t>
            </w:r>
            <w:r>
              <w:rPr>
                <w:sz w:val="24"/>
                <w:highlight w:val="none"/>
              </w:rPr>
              <w:t>供应商</w:t>
            </w:r>
            <w:r>
              <w:rPr>
                <w:rFonts w:hint="eastAsia"/>
                <w:sz w:val="24"/>
                <w:highlight w:val="none"/>
              </w:rPr>
              <w:t>的两轮磋商</w:t>
            </w:r>
            <w:r>
              <w:rPr>
                <w:sz w:val="24"/>
                <w:highlight w:val="none"/>
              </w:rPr>
              <w:t>报价</w:t>
            </w:r>
            <w:r>
              <w:rPr>
                <w:rFonts w:hint="eastAsia"/>
                <w:sz w:val="24"/>
                <w:highlight w:val="none"/>
              </w:rPr>
              <w:t>都</w:t>
            </w:r>
            <w:r>
              <w:rPr>
                <w:sz w:val="24"/>
                <w:highlight w:val="none"/>
              </w:rPr>
              <w:t>不得高于采购人公布的</w:t>
            </w:r>
            <w:r>
              <w:rPr>
                <w:rFonts w:hint="eastAsia"/>
                <w:sz w:val="24"/>
                <w:highlight w:val="none"/>
              </w:rPr>
              <w:t>控制价</w:t>
            </w:r>
            <w:r>
              <w:rPr>
                <w:sz w:val="24"/>
                <w:highlight w:val="none"/>
              </w:rPr>
              <w:t>，否则其投标将被否决</w:t>
            </w:r>
          </w:p>
        </w:tc>
      </w:tr>
      <w:tr w14:paraId="48DBF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211" w:type="dxa"/>
            <w:gridSpan w:val="2"/>
            <w:tcMar>
              <w:left w:w="57" w:type="dxa"/>
              <w:right w:w="57" w:type="dxa"/>
            </w:tcMar>
            <w:vAlign w:val="center"/>
          </w:tcPr>
          <w:p w14:paraId="0A4D3EE6">
            <w:pPr>
              <w:pStyle w:val="20"/>
              <w:pageBreakBefore w:val="0"/>
              <w:tabs>
                <w:tab w:val="right" w:pos="2948"/>
              </w:tabs>
              <w:kinsoku/>
              <w:overflowPunct/>
              <w:topLinePunct w:val="0"/>
              <w:bidi w:val="0"/>
              <w:spacing w:before="0" w:beforeAutospacing="0" w:after="0" w:afterAutospacing="0" w:line="360" w:lineRule="auto"/>
              <w:jc w:val="center"/>
              <w:outlineLvl w:val="9"/>
              <w:rPr>
                <w:rFonts w:hint="default"/>
                <w:b/>
                <w:bCs/>
                <w:highlight w:val="none"/>
              </w:rPr>
            </w:pPr>
            <w:r>
              <w:rPr>
                <w:b/>
                <w:bCs/>
                <w:highlight w:val="none"/>
              </w:rPr>
              <w:t>条款号</w:t>
            </w:r>
          </w:p>
        </w:tc>
        <w:tc>
          <w:tcPr>
            <w:tcW w:w="1830" w:type="dxa"/>
            <w:tcMar>
              <w:left w:w="57" w:type="dxa"/>
              <w:right w:w="57" w:type="dxa"/>
            </w:tcMar>
            <w:vAlign w:val="center"/>
          </w:tcPr>
          <w:p w14:paraId="2B7CD8CF">
            <w:pPr>
              <w:pStyle w:val="20"/>
              <w:pageBreakBefore w:val="0"/>
              <w:kinsoku/>
              <w:overflowPunct/>
              <w:topLinePunct w:val="0"/>
              <w:bidi w:val="0"/>
              <w:spacing w:before="0" w:beforeAutospacing="0" w:after="0" w:afterAutospacing="0" w:line="360" w:lineRule="auto"/>
              <w:jc w:val="center"/>
              <w:outlineLvl w:val="9"/>
              <w:rPr>
                <w:rFonts w:hint="default"/>
                <w:b/>
                <w:bCs/>
                <w:highlight w:val="none"/>
              </w:rPr>
            </w:pPr>
            <w:r>
              <w:rPr>
                <w:b/>
                <w:bCs/>
                <w:highlight w:val="none"/>
              </w:rPr>
              <w:t>条款内容</w:t>
            </w:r>
          </w:p>
        </w:tc>
        <w:tc>
          <w:tcPr>
            <w:tcW w:w="5785" w:type="dxa"/>
            <w:tcMar>
              <w:left w:w="57" w:type="dxa"/>
              <w:right w:w="57" w:type="dxa"/>
            </w:tcMar>
            <w:vAlign w:val="center"/>
          </w:tcPr>
          <w:p w14:paraId="08B76AD1">
            <w:pPr>
              <w:pStyle w:val="20"/>
              <w:pageBreakBefore w:val="0"/>
              <w:kinsoku/>
              <w:overflowPunct/>
              <w:topLinePunct w:val="0"/>
              <w:bidi w:val="0"/>
              <w:spacing w:before="0" w:beforeAutospacing="0" w:after="0" w:afterAutospacing="0" w:line="360" w:lineRule="auto"/>
              <w:jc w:val="both"/>
              <w:outlineLvl w:val="9"/>
              <w:rPr>
                <w:rFonts w:hint="default"/>
                <w:b/>
                <w:bCs/>
                <w:highlight w:val="none"/>
              </w:rPr>
            </w:pPr>
            <w:r>
              <w:rPr>
                <w:b/>
                <w:bCs/>
                <w:highlight w:val="none"/>
              </w:rPr>
              <w:t>编列内容</w:t>
            </w:r>
          </w:p>
        </w:tc>
      </w:tr>
      <w:tr w14:paraId="7FF9B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2211" w:type="dxa"/>
            <w:gridSpan w:val="2"/>
            <w:tcMar>
              <w:left w:w="57" w:type="dxa"/>
              <w:right w:w="57" w:type="dxa"/>
            </w:tcMar>
            <w:vAlign w:val="center"/>
          </w:tcPr>
          <w:p w14:paraId="6A2CAF85">
            <w:pPr>
              <w:pStyle w:val="20"/>
              <w:pageBreakBefore w:val="0"/>
              <w:kinsoku/>
              <w:overflowPunct/>
              <w:topLinePunct w:val="0"/>
              <w:bidi w:val="0"/>
              <w:spacing w:before="0" w:beforeAutospacing="0" w:after="0" w:afterAutospacing="0" w:line="360" w:lineRule="auto"/>
              <w:jc w:val="center"/>
              <w:outlineLvl w:val="9"/>
              <w:rPr>
                <w:rFonts w:hint="default"/>
                <w:highlight w:val="none"/>
              </w:rPr>
            </w:pPr>
            <w:r>
              <w:rPr>
                <w:rFonts w:hint="eastAsia" w:ascii="宋体" w:hAnsi="宋体" w:eastAsia="宋体" w:cs="宋体"/>
                <w:highlight w:val="none"/>
              </w:rPr>
              <w:t>2.2.1</w:t>
            </w:r>
          </w:p>
        </w:tc>
        <w:tc>
          <w:tcPr>
            <w:tcW w:w="1830" w:type="dxa"/>
            <w:tcMar>
              <w:left w:w="57" w:type="dxa"/>
              <w:right w:w="57" w:type="dxa"/>
            </w:tcMar>
            <w:vAlign w:val="center"/>
          </w:tcPr>
          <w:p w14:paraId="0FE5CAD7">
            <w:pPr>
              <w:pStyle w:val="20"/>
              <w:pageBreakBefore w:val="0"/>
              <w:kinsoku/>
              <w:overflowPunct/>
              <w:topLinePunct w:val="0"/>
              <w:bidi w:val="0"/>
              <w:spacing w:before="0" w:beforeAutospacing="0" w:after="0" w:afterAutospacing="0" w:line="360" w:lineRule="auto"/>
              <w:jc w:val="center"/>
              <w:outlineLvl w:val="9"/>
              <w:rPr>
                <w:rFonts w:hint="default"/>
                <w:highlight w:val="none"/>
              </w:rPr>
            </w:pPr>
            <w:r>
              <w:rPr>
                <w:highlight w:val="none"/>
              </w:rPr>
              <w:t>分值构成</w:t>
            </w:r>
          </w:p>
          <w:p w14:paraId="44CB3C44">
            <w:pPr>
              <w:pStyle w:val="20"/>
              <w:pageBreakBefore w:val="0"/>
              <w:kinsoku/>
              <w:overflowPunct/>
              <w:topLinePunct w:val="0"/>
              <w:bidi w:val="0"/>
              <w:spacing w:before="0" w:beforeAutospacing="0" w:after="0" w:afterAutospacing="0" w:line="360" w:lineRule="auto"/>
              <w:jc w:val="center"/>
              <w:outlineLvl w:val="9"/>
              <w:rPr>
                <w:rFonts w:hint="default"/>
                <w:highlight w:val="none"/>
              </w:rPr>
            </w:pPr>
            <w:r>
              <w:rPr>
                <w:highlight w:val="none"/>
              </w:rPr>
              <w:t>（总分100分）</w:t>
            </w:r>
          </w:p>
        </w:tc>
        <w:tc>
          <w:tcPr>
            <w:tcW w:w="5785" w:type="dxa"/>
            <w:tcMar>
              <w:left w:w="57" w:type="dxa"/>
              <w:right w:w="57" w:type="dxa"/>
            </w:tcMar>
            <w:vAlign w:val="center"/>
          </w:tcPr>
          <w:p w14:paraId="4622367E">
            <w:pPr>
              <w:pageBreakBefore w:val="0"/>
              <w:kinsoku/>
              <w:overflowPunct/>
              <w:topLinePunct w:val="0"/>
              <w:bidi w:val="0"/>
              <w:spacing w:line="360" w:lineRule="auto"/>
              <w:jc w:val="both"/>
              <w:outlineLvl w:val="9"/>
              <w:rPr>
                <w:rFonts w:hint="eastAsia" w:ascii="宋体" w:hAnsi="宋体" w:cs="宋体"/>
                <w:sz w:val="24"/>
                <w:szCs w:val="24"/>
                <w:highlight w:val="none"/>
              </w:rPr>
            </w:pPr>
            <w:r>
              <w:rPr>
                <w:rFonts w:hint="eastAsia" w:ascii="宋体" w:hAnsi="宋体" w:cs="宋体"/>
                <w:sz w:val="24"/>
                <w:szCs w:val="24"/>
                <w:highlight w:val="none"/>
              </w:rPr>
              <w:t>磋商报价：30分</w:t>
            </w:r>
          </w:p>
          <w:p w14:paraId="611B9ACA">
            <w:pPr>
              <w:pageBreakBefore w:val="0"/>
              <w:kinsoku/>
              <w:overflowPunct/>
              <w:topLinePunct w:val="0"/>
              <w:bidi w:val="0"/>
              <w:spacing w:line="360" w:lineRule="auto"/>
              <w:jc w:val="both"/>
              <w:outlineLvl w:val="9"/>
              <w:rPr>
                <w:rFonts w:ascii="宋体" w:hAnsi="宋体" w:cs="宋体"/>
                <w:sz w:val="24"/>
                <w:szCs w:val="24"/>
                <w:highlight w:val="none"/>
              </w:rPr>
            </w:pPr>
            <w:r>
              <w:rPr>
                <w:rFonts w:hint="eastAsia" w:ascii="宋体" w:hAnsi="宋体" w:cs="宋体"/>
                <w:sz w:val="24"/>
                <w:szCs w:val="24"/>
                <w:highlight w:val="none"/>
              </w:rPr>
              <w:t>技术标：</w:t>
            </w:r>
            <w:r>
              <w:rPr>
                <w:rFonts w:hint="eastAsia" w:ascii="宋体" w:hAnsi="宋体" w:cs="宋体"/>
                <w:sz w:val="24"/>
                <w:szCs w:val="24"/>
                <w:highlight w:val="none"/>
                <w:lang w:val="en-US" w:eastAsia="zh-CN"/>
              </w:rPr>
              <w:t>45</w:t>
            </w:r>
            <w:r>
              <w:rPr>
                <w:rFonts w:hint="eastAsia" w:ascii="宋体" w:hAnsi="宋体" w:cs="宋体"/>
                <w:sz w:val="24"/>
                <w:szCs w:val="24"/>
                <w:highlight w:val="none"/>
              </w:rPr>
              <w:t>分</w:t>
            </w:r>
          </w:p>
          <w:p w14:paraId="227E6EC5">
            <w:pPr>
              <w:pageBreakBefore w:val="0"/>
              <w:kinsoku/>
              <w:overflowPunct/>
              <w:topLinePunct w:val="0"/>
              <w:bidi w:val="0"/>
              <w:spacing w:line="360" w:lineRule="auto"/>
              <w:jc w:val="both"/>
              <w:outlineLvl w:val="9"/>
              <w:rPr>
                <w:rFonts w:ascii="宋体" w:hAnsi="宋体" w:cs="宋体"/>
                <w:sz w:val="24"/>
                <w:szCs w:val="24"/>
                <w:highlight w:val="none"/>
              </w:rPr>
            </w:pPr>
            <w:r>
              <w:rPr>
                <w:rFonts w:hint="eastAsia" w:ascii="宋体" w:hAnsi="宋体" w:cs="宋体"/>
                <w:sz w:val="24"/>
                <w:szCs w:val="24"/>
                <w:highlight w:val="none"/>
              </w:rPr>
              <w:t>综合标：</w:t>
            </w:r>
            <w:r>
              <w:rPr>
                <w:rFonts w:hint="eastAsia" w:ascii="宋体" w:hAnsi="宋体" w:cs="宋体"/>
                <w:sz w:val="24"/>
                <w:szCs w:val="24"/>
                <w:highlight w:val="none"/>
                <w:lang w:val="en-US" w:eastAsia="zh-CN"/>
              </w:rPr>
              <w:t>25</w:t>
            </w:r>
            <w:r>
              <w:rPr>
                <w:rFonts w:hint="eastAsia" w:ascii="宋体" w:hAnsi="宋体" w:cs="宋体"/>
                <w:sz w:val="24"/>
                <w:szCs w:val="24"/>
                <w:highlight w:val="none"/>
              </w:rPr>
              <w:t>分</w:t>
            </w:r>
          </w:p>
        </w:tc>
      </w:tr>
      <w:tr w14:paraId="25BB8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11" w:type="dxa"/>
            <w:gridSpan w:val="2"/>
            <w:tcMar>
              <w:left w:w="57" w:type="dxa"/>
              <w:right w:w="57" w:type="dxa"/>
            </w:tcMar>
            <w:vAlign w:val="center"/>
          </w:tcPr>
          <w:p w14:paraId="7221ECFC">
            <w:pPr>
              <w:pStyle w:val="20"/>
              <w:pageBreakBefore w:val="0"/>
              <w:tabs>
                <w:tab w:val="right" w:pos="2948"/>
              </w:tabs>
              <w:kinsoku/>
              <w:overflowPunct/>
              <w:topLinePunct w:val="0"/>
              <w:bidi w:val="0"/>
              <w:spacing w:before="0" w:beforeAutospacing="0" w:after="0" w:afterAutospacing="0" w:line="360" w:lineRule="auto"/>
              <w:jc w:val="center"/>
              <w:outlineLvl w:val="9"/>
              <w:rPr>
                <w:rFonts w:hint="default"/>
                <w:highlight w:val="none"/>
              </w:rPr>
            </w:pPr>
            <w:r>
              <w:rPr>
                <w:b/>
                <w:bCs/>
                <w:highlight w:val="none"/>
              </w:rPr>
              <w:t>条款号</w:t>
            </w:r>
          </w:p>
        </w:tc>
        <w:tc>
          <w:tcPr>
            <w:tcW w:w="1830" w:type="dxa"/>
            <w:tcMar>
              <w:left w:w="57" w:type="dxa"/>
              <w:right w:w="57" w:type="dxa"/>
            </w:tcMar>
            <w:vAlign w:val="center"/>
          </w:tcPr>
          <w:p w14:paraId="181A252C">
            <w:pPr>
              <w:pStyle w:val="20"/>
              <w:pageBreakBefore w:val="0"/>
              <w:kinsoku/>
              <w:overflowPunct/>
              <w:topLinePunct w:val="0"/>
              <w:bidi w:val="0"/>
              <w:spacing w:before="0" w:beforeAutospacing="0" w:after="0" w:afterAutospacing="0" w:line="360" w:lineRule="auto"/>
              <w:jc w:val="center"/>
              <w:outlineLvl w:val="9"/>
              <w:rPr>
                <w:rFonts w:hint="default"/>
                <w:highlight w:val="none"/>
              </w:rPr>
            </w:pPr>
            <w:r>
              <w:rPr>
                <w:b/>
                <w:highlight w:val="none"/>
              </w:rPr>
              <w:t>评分因素</w:t>
            </w:r>
          </w:p>
        </w:tc>
        <w:tc>
          <w:tcPr>
            <w:tcW w:w="5785" w:type="dxa"/>
            <w:tcMar>
              <w:left w:w="57" w:type="dxa"/>
              <w:right w:w="57" w:type="dxa"/>
            </w:tcMar>
            <w:vAlign w:val="center"/>
          </w:tcPr>
          <w:p w14:paraId="046A12DA">
            <w:pPr>
              <w:pStyle w:val="20"/>
              <w:pageBreakBefore w:val="0"/>
              <w:kinsoku/>
              <w:overflowPunct/>
              <w:topLinePunct w:val="0"/>
              <w:bidi w:val="0"/>
              <w:spacing w:before="0" w:beforeAutospacing="0" w:after="0" w:afterAutospacing="0" w:line="360" w:lineRule="auto"/>
              <w:jc w:val="both"/>
              <w:outlineLvl w:val="9"/>
              <w:rPr>
                <w:rFonts w:hint="default"/>
                <w:highlight w:val="none"/>
              </w:rPr>
            </w:pPr>
            <w:r>
              <w:rPr>
                <w:b/>
                <w:bCs/>
                <w:highlight w:val="none"/>
              </w:rPr>
              <w:t>评分标准</w:t>
            </w:r>
          </w:p>
        </w:tc>
      </w:tr>
      <w:tr w14:paraId="63EAB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935" w:type="dxa"/>
            <w:tcMar>
              <w:left w:w="57" w:type="dxa"/>
              <w:right w:w="57" w:type="dxa"/>
            </w:tcMar>
            <w:vAlign w:val="center"/>
          </w:tcPr>
          <w:p w14:paraId="4B411741">
            <w:pPr>
              <w:pStyle w:val="20"/>
              <w:pageBreakBefore w:val="0"/>
              <w:kinsoku/>
              <w:overflowPunct/>
              <w:topLinePunct w:val="0"/>
              <w:bidi w:val="0"/>
              <w:spacing w:before="0" w:beforeAutospacing="0" w:after="0" w:afterAutospacing="0" w:line="360" w:lineRule="auto"/>
              <w:jc w:val="center"/>
              <w:outlineLvl w:val="9"/>
              <w:rPr>
                <w:rFonts w:hint="default" w:eastAsiaTheme="minorEastAsia"/>
                <w:highlight w:val="none"/>
                <w:lang w:val="en-US" w:eastAsia="zh-CN"/>
              </w:rPr>
            </w:pPr>
            <w:r>
              <w:rPr>
                <w:rFonts w:hint="eastAsia" w:ascii="宋体" w:hAnsi="宋体" w:eastAsia="宋体" w:cs="宋体"/>
                <w:highlight w:val="none"/>
                <w:lang w:val="en-US" w:eastAsia="zh-CN"/>
              </w:rPr>
              <w:t>2.2.2（1）</w:t>
            </w:r>
          </w:p>
        </w:tc>
        <w:tc>
          <w:tcPr>
            <w:tcW w:w="1276" w:type="dxa"/>
            <w:tcMar>
              <w:left w:w="57" w:type="dxa"/>
              <w:right w:w="57" w:type="dxa"/>
            </w:tcMar>
            <w:vAlign w:val="center"/>
          </w:tcPr>
          <w:p w14:paraId="092C6A65">
            <w:pPr>
              <w:pageBreakBefore w:val="0"/>
              <w:kinsoku/>
              <w:overflowPunct/>
              <w:topLinePunct w:val="0"/>
              <w:bidi w:val="0"/>
              <w:spacing w:line="360" w:lineRule="auto"/>
              <w:jc w:val="center"/>
              <w:outlineLvl w:val="9"/>
              <w:rPr>
                <w:rFonts w:hint="eastAsia" w:ascii="宋体" w:hAnsi="宋体" w:cs="宋体"/>
                <w:sz w:val="24"/>
                <w:szCs w:val="24"/>
                <w:highlight w:val="none"/>
              </w:rPr>
            </w:pPr>
            <w:r>
              <w:rPr>
                <w:rFonts w:hint="eastAsia" w:ascii="宋体" w:hAnsi="宋体" w:cs="宋体"/>
                <w:sz w:val="24"/>
                <w:szCs w:val="24"/>
                <w:highlight w:val="none"/>
              </w:rPr>
              <w:t>磋商报价</w:t>
            </w:r>
            <w:r>
              <w:rPr>
                <w:rFonts w:hint="eastAsia" w:ascii="宋体" w:hAnsi="宋体" w:cs="宋体" w:eastAsiaTheme="minorEastAsia"/>
                <w:kern w:val="2"/>
                <w:sz w:val="24"/>
                <w:szCs w:val="24"/>
                <w:highlight w:val="none"/>
                <w:lang w:val="en-US" w:eastAsia="zh-CN" w:bidi="ar-SA"/>
              </w:rPr>
              <w:t>（30分</w:t>
            </w:r>
            <w:r>
              <w:rPr>
                <w:highlight w:val="none"/>
              </w:rPr>
              <w:t>）</w:t>
            </w:r>
          </w:p>
        </w:tc>
        <w:tc>
          <w:tcPr>
            <w:tcW w:w="1830" w:type="dxa"/>
            <w:tcMar>
              <w:left w:w="57" w:type="dxa"/>
              <w:right w:w="57" w:type="dxa"/>
            </w:tcMar>
            <w:vAlign w:val="center"/>
          </w:tcPr>
          <w:p w14:paraId="56666C8A">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磋商报价得分</w:t>
            </w:r>
          </w:p>
          <w:p w14:paraId="686B2F91">
            <w:pPr>
              <w:pageBreakBefore w:val="0"/>
              <w:kinsoku/>
              <w:overflowPunct/>
              <w:topLinePunct w:val="0"/>
              <w:bidi w:val="0"/>
              <w:jc w:val="center"/>
              <w:outlineLvl w:val="9"/>
              <w:rPr>
                <w:rFonts w:hint="eastAsia" w:ascii="宋体" w:hAnsi="宋体" w:cs="宋体"/>
                <w:color w:val="000000"/>
                <w:sz w:val="24"/>
                <w:highlight w:val="none"/>
              </w:rPr>
            </w:pPr>
            <w:r>
              <w:rPr>
                <w:rFonts w:hint="eastAsia" w:ascii="宋体" w:hAnsi="宋体" w:cs="宋体"/>
                <w:sz w:val="24"/>
                <w:szCs w:val="24"/>
                <w:highlight w:val="none"/>
              </w:rPr>
              <w:t>（30分）</w:t>
            </w:r>
          </w:p>
        </w:tc>
        <w:tc>
          <w:tcPr>
            <w:tcW w:w="5785" w:type="dxa"/>
            <w:tcMar>
              <w:left w:w="57" w:type="dxa"/>
              <w:right w:w="57" w:type="dxa"/>
            </w:tcMar>
            <w:vAlign w:val="center"/>
          </w:tcPr>
          <w:p w14:paraId="4080CD5A">
            <w:pPr>
              <w:spacing w:line="400" w:lineRule="exact"/>
              <w:rPr>
                <w:rFonts w:hint="eastAsia" w:ascii="宋体" w:hAnsi="宋体" w:cs="宋体"/>
                <w:sz w:val="24"/>
                <w:szCs w:val="24"/>
                <w:highlight w:val="none"/>
              </w:rPr>
            </w:pPr>
            <w:r>
              <w:rPr>
                <w:rFonts w:hint="eastAsia" w:ascii="宋体" w:hAnsi="宋体" w:cs="宋体"/>
                <w:sz w:val="24"/>
                <w:szCs w:val="24"/>
                <w:highlight w:val="none"/>
              </w:rPr>
              <w:t>报价得分=（评标基准价/</w:t>
            </w:r>
            <w:r>
              <w:rPr>
                <w:rFonts w:hint="eastAsia" w:ascii="宋体" w:hAnsi="宋体" w:cs="宋体"/>
                <w:sz w:val="24"/>
                <w:szCs w:val="24"/>
                <w:highlight w:val="none"/>
                <w:lang w:eastAsia="zh-CN"/>
              </w:rPr>
              <w:t>磋商</w:t>
            </w:r>
            <w:r>
              <w:rPr>
                <w:rFonts w:hint="eastAsia" w:ascii="宋体" w:hAnsi="宋体" w:cs="宋体"/>
                <w:sz w:val="24"/>
                <w:szCs w:val="24"/>
                <w:highlight w:val="none"/>
              </w:rPr>
              <w:t>报价）×30</w:t>
            </w:r>
          </w:p>
          <w:p w14:paraId="7D0CEFB1">
            <w:pPr>
              <w:spacing w:line="400" w:lineRule="exact"/>
              <w:rPr>
                <w:rFonts w:ascii="宋体" w:hAnsi="宋体" w:cs="宋体"/>
                <w:sz w:val="24"/>
                <w:szCs w:val="24"/>
                <w:highlight w:val="none"/>
              </w:rPr>
            </w:pPr>
            <w:r>
              <w:rPr>
                <w:rFonts w:hint="eastAsia" w:ascii="宋体" w:hAnsi="宋体" w:cs="宋体"/>
                <w:sz w:val="24"/>
                <w:szCs w:val="24"/>
                <w:highlight w:val="none"/>
              </w:rPr>
              <w:t>评标基准价：满足竞争性磋商文件要求经评审报价最低为评标基准价，其价格分为满分；</w:t>
            </w:r>
          </w:p>
          <w:p w14:paraId="5D8E3CEC">
            <w:pPr>
              <w:autoSpaceDE w:val="0"/>
              <w:autoSpaceDN w:val="0"/>
              <w:adjustRightInd w:val="0"/>
              <w:snapToGrid w:val="0"/>
              <w:spacing w:line="360" w:lineRule="auto"/>
              <w:ind w:right="97"/>
              <w:jc w:val="left"/>
              <w:rPr>
                <w:rFonts w:hint="eastAsia"/>
                <w:sz w:val="24"/>
                <w:szCs w:val="24"/>
                <w:highlight w:val="none"/>
                <w:lang w:eastAsia="zh-CN"/>
              </w:rPr>
            </w:pPr>
            <w:r>
              <w:rPr>
                <w:rFonts w:hint="eastAsia"/>
                <w:sz w:val="24"/>
                <w:szCs w:val="24"/>
                <w:highlight w:val="none"/>
              </w:rPr>
              <w:t>注：计算结果按四舍五入法则，保留小数点后两位</w:t>
            </w:r>
            <w:r>
              <w:rPr>
                <w:rFonts w:hint="eastAsia"/>
                <w:sz w:val="24"/>
                <w:szCs w:val="24"/>
                <w:highlight w:val="none"/>
                <w:lang w:eastAsia="zh-CN"/>
              </w:rPr>
              <w:t>。</w:t>
            </w:r>
          </w:p>
          <w:p w14:paraId="5EFFC2BF">
            <w:pPr>
              <w:autoSpaceDE w:val="0"/>
              <w:autoSpaceDN w:val="0"/>
              <w:adjustRightInd w:val="0"/>
              <w:snapToGrid w:val="0"/>
              <w:spacing w:line="360" w:lineRule="auto"/>
              <w:ind w:right="97"/>
              <w:jc w:val="left"/>
              <w:rPr>
                <w:rFonts w:hint="eastAsia"/>
                <w:sz w:val="24"/>
                <w:szCs w:val="24"/>
                <w:highlight w:val="none"/>
                <w:lang w:eastAsia="zh-CN"/>
              </w:rPr>
            </w:pPr>
            <w:r>
              <w:rPr>
                <w:rFonts w:hint="eastAsia" w:ascii="宋体" w:hAnsi="宋体" w:cs="宋体"/>
                <w:b/>
                <w:bCs/>
                <w:sz w:val="24"/>
                <w:szCs w:val="24"/>
                <w:highlight w:val="none"/>
                <w:lang w:val="en-US" w:eastAsia="zh-CN"/>
              </w:rPr>
              <w:t>备注：为贯彻落实《政府采购促进中小企业发展管理办法》（财库[2020]46 号）、《关于进一步加大政府采购支持中小企业力度的通知》（财库〔2022〕19 号）、《关于促进残疾人就业政府采购政策的通知》（财库[2017]141 号）、《关于政府采购支持监狱企业发展有关问题的通知》（财库[2014]68 号）等规定，促进中小型企业的发展，评审时给予小型或微型企业、监狱企业、残疾人福利性单位的工程项目 3%—5%的价格扣除，本项目采用5%的价格扣除优惠，用扣除后的价格参与评审。 同一供应商，小微企业、监狱企业、残疾人福利性单位价格扣除优惠只享受一次，不得重复享受。供 应商应提供《中小企业声明函》或《残疾人福利性单位声明函》或《监狱企业的证明文件》，格式详见投标文件格式，未提供声明函者不予认定。</w:t>
            </w:r>
          </w:p>
        </w:tc>
      </w:tr>
      <w:tr w14:paraId="7E2D5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935" w:type="dxa"/>
            <w:vMerge w:val="restart"/>
            <w:tcMar>
              <w:left w:w="57" w:type="dxa"/>
              <w:right w:w="57" w:type="dxa"/>
            </w:tcMar>
            <w:vAlign w:val="center"/>
          </w:tcPr>
          <w:p w14:paraId="47043625">
            <w:pPr>
              <w:pStyle w:val="20"/>
              <w:pageBreakBefore w:val="0"/>
              <w:kinsoku/>
              <w:overflowPunct/>
              <w:topLinePunct w:val="0"/>
              <w:bidi w:val="0"/>
              <w:spacing w:before="0" w:beforeAutospacing="0" w:after="0" w:afterAutospacing="0" w:line="360" w:lineRule="auto"/>
              <w:jc w:val="center"/>
              <w:outlineLvl w:val="9"/>
              <w:rPr>
                <w:rFonts w:hint="default"/>
                <w:highlight w:val="none"/>
              </w:rPr>
            </w:pPr>
            <w:r>
              <w:rPr>
                <w:rFonts w:hint="eastAsia" w:ascii="宋体" w:hAnsi="宋体" w:eastAsia="宋体" w:cs="宋体"/>
                <w:highlight w:val="none"/>
                <w:lang w:val="en-US" w:eastAsia="zh-CN"/>
              </w:rPr>
              <w:t>2.2.2 (2)</w:t>
            </w:r>
          </w:p>
        </w:tc>
        <w:tc>
          <w:tcPr>
            <w:tcW w:w="1276" w:type="dxa"/>
            <w:vMerge w:val="restart"/>
            <w:tcMar>
              <w:left w:w="57" w:type="dxa"/>
              <w:right w:w="57" w:type="dxa"/>
            </w:tcMar>
            <w:vAlign w:val="center"/>
          </w:tcPr>
          <w:p w14:paraId="1D77A818">
            <w:pPr>
              <w:pageBreakBefore w:val="0"/>
              <w:kinsoku/>
              <w:overflowPunct/>
              <w:topLinePunct w:val="0"/>
              <w:bidi w:val="0"/>
              <w:spacing w:line="360" w:lineRule="auto"/>
              <w:jc w:val="center"/>
              <w:outlineLvl w:val="9"/>
              <w:rPr>
                <w:rFonts w:hint="eastAsia" w:ascii="宋体" w:hAnsi="宋体" w:cs="宋体"/>
                <w:sz w:val="24"/>
                <w:szCs w:val="24"/>
                <w:highlight w:val="none"/>
              </w:rPr>
            </w:pPr>
          </w:p>
          <w:p w14:paraId="7D234456">
            <w:pPr>
              <w:pageBreakBefore w:val="0"/>
              <w:kinsoku/>
              <w:overflowPunct/>
              <w:topLinePunct w:val="0"/>
              <w:bidi w:val="0"/>
              <w:spacing w:line="360" w:lineRule="auto"/>
              <w:jc w:val="center"/>
              <w:outlineLvl w:val="9"/>
              <w:rPr>
                <w:rFonts w:hint="eastAsia" w:ascii="宋体" w:hAnsi="宋体" w:cs="宋体"/>
                <w:sz w:val="24"/>
                <w:szCs w:val="24"/>
                <w:highlight w:val="none"/>
              </w:rPr>
            </w:pPr>
          </w:p>
          <w:p w14:paraId="6A7A6B81">
            <w:pPr>
              <w:pageBreakBefore w:val="0"/>
              <w:kinsoku/>
              <w:overflowPunct/>
              <w:topLinePunct w:val="0"/>
              <w:bidi w:val="0"/>
              <w:spacing w:line="360" w:lineRule="auto"/>
              <w:jc w:val="center"/>
              <w:outlineLvl w:val="9"/>
              <w:rPr>
                <w:rFonts w:hint="eastAsia" w:ascii="宋体" w:hAnsi="宋体" w:cs="宋体"/>
                <w:sz w:val="24"/>
                <w:szCs w:val="24"/>
                <w:highlight w:val="none"/>
              </w:rPr>
            </w:pPr>
          </w:p>
          <w:p w14:paraId="501A6C98">
            <w:pPr>
              <w:pageBreakBefore w:val="0"/>
              <w:kinsoku/>
              <w:overflowPunct/>
              <w:topLinePunct w:val="0"/>
              <w:bidi w:val="0"/>
              <w:spacing w:line="360" w:lineRule="auto"/>
              <w:jc w:val="center"/>
              <w:outlineLvl w:val="9"/>
              <w:rPr>
                <w:rFonts w:hint="eastAsia" w:ascii="宋体" w:hAnsi="宋体" w:cs="宋体"/>
                <w:sz w:val="24"/>
                <w:szCs w:val="24"/>
                <w:highlight w:val="none"/>
              </w:rPr>
            </w:pPr>
          </w:p>
          <w:p w14:paraId="4A9EB7CB">
            <w:pPr>
              <w:pageBreakBefore w:val="0"/>
              <w:kinsoku/>
              <w:overflowPunct/>
              <w:topLinePunct w:val="0"/>
              <w:bidi w:val="0"/>
              <w:spacing w:line="360" w:lineRule="auto"/>
              <w:jc w:val="center"/>
              <w:outlineLvl w:val="9"/>
              <w:rPr>
                <w:rFonts w:hint="eastAsia" w:ascii="宋体" w:hAnsi="宋体" w:cs="宋体"/>
                <w:sz w:val="24"/>
                <w:szCs w:val="24"/>
                <w:highlight w:val="none"/>
              </w:rPr>
            </w:pPr>
          </w:p>
          <w:p w14:paraId="2E7DBEFC">
            <w:pPr>
              <w:pageBreakBefore w:val="0"/>
              <w:kinsoku/>
              <w:overflowPunct/>
              <w:topLinePunct w:val="0"/>
              <w:bidi w:val="0"/>
              <w:spacing w:line="360" w:lineRule="auto"/>
              <w:jc w:val="center"/>
              <w:outlineLvl w:val="9"/>
              <w:rPr>
                <w:rFonts w:hint="eastAsia" w:ascii="宋体" w:hAnsi="宋体" w:cs="宋体"/>
                <w:sz w:val="24"/>
                <w:szCs w:val="24"/>
                <w:highlight w:val="none"/>
              </w:rPr>
            </w:pPr>
          </w:p>
          <w:p w14:paraId="5F93E248">
            <w:pPr>
              <w:pageBreakBefore w:val="0"/>
              <w:kinsoku/>
              <w:overflowPunct/>
              <w:topLinePunct w:val="0"/>
              <w:bidi w:val="0"/>
              <w:spacing w:line="360" w:lineRule="auto"/>
              <w:jc w:val="center"/>
              <w:outlineLvl w:val="9"/>
              <w:rPr>
                <w:rFonts w:hint="eastAsia" w:ascii="宋体" w:hAnsi="宋体" w:cs="宋体"/>
                <w:sz w:val="24"/>
                <w:szCs w:val="24"/>
                <w:highlight w:val="none"/>
              </w:rPr>
            </w:pPr>
          </w:p>
          <w:p w14:paraId="2DD14825">
            <w:pPr>
              <w:pageBreakBefore w:val="0"/>
              <w:kinsoku/>
              <w:overflowPunct/>
              <w:topLinePunct w:val="0"/>
              <w:bidi w:val="0"/>
              <w:spacing w:line="360" w:lineRule="auto"/>
              <w:jc w:val="center"/>
              <w:outlineLvl w:val="9"/>
              <w:rPr>
                <w:rFonts w:hint="eastAsia" w:ascii="宋体" w:hAnsi="宋体" w:cs="宋体"/>
                <w:sz w:val="24"/>
                <w:szCs w:val="24"/>
                <w:highlight w:val="none"/>
              </w:rPr>
            </w:pPr>
          </w:p>
          <w:p w14:paraId="32C5454C">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技术标评分（</w:t>
            </w:r>
            <w:r>
              <w:rPr>
                <w:rFonts w:hint="eastAsia" w:ascii="宋体" w:hAnsi="宋体" w:cs="宋体"/>
                <w:sz w:val="24"/>
                <w:szCs w:val="24"/>
                <w:highlight w:val="none"/>
                <w:lang w:val="en-US" w:eastAsia="zh-CN"/>
              </w:rPr>
              <w:t>45</w:t>
            </w:r>
            <w:r>
              <w:rPr>
                <w:rFonts w:hint="eastAsia" w:ascii="宋体" w:hAnsi="宋体" w:cs="宋体"/>
                <w:sz w:val="24"/>
                <w:szCs w:val="24"/>
                <w:highlight w:val="none"/>
              </w:rPr>
              <w:t>分）</w:t>
            </w:r>
          </w:p>
        </w:tc>
        <w:tc>
          <w:tcPr>
            <w:tcW w:w="1830" w:type="dxa"/>
            <w:shd w:val="clear" w:color="auto" w:fill="auto"/>
            <w:tcMar>
              <w:left w:w="57" w:type="dxa"/>
              <w:right w:w="57" w:type="dxa"/>
            </w:tcMar>
            <w:vAlign w:val="center"/>
          </w:tcPr>
          <w:p w14:paraId="6485F32A">
            <w:pPr>
              <w:pageBreakBefore w:val="0"/>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主要施工方案与技术措施</w:t>
            </w:r>
          </w:p>
          <w:p w14:paraId="051A949E">
            <w:pPr>
              <w:pageBreakBefore w:val="0"/>
              <w:kinsoku/>
              <w:overflowPunct/>
              <w:topLinePunct w:val="0"/>
              <w:bidi w:val="0"/>
              <w:spacing w:line="360" w:lineRule="auto"/>
              <w:jc w:val="center"/>
              <w:outlineLvl w:val="9"/>
              <w:rPr>
                <w:rFonts w:hint="eastAsia" w:eastAsia="仿宋" w:asciiTheme="minorHAnsi" w:hAnsiTheme="minorHAnsi" w:cstheme="minorBidi"/>
                <w:kern w:val="2"/>
                <w:sz w:val="21"/>
                <w:szCs w:val="22"/>
                <w:highlight w:val="none"/>
                <w:lang w:val="en-US" w:eastAsia="zh-CN" w:bidi="ar-SA"/>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分）</w:t>
            </w:r>
          </w:p>
        </w:tc>
        <w:tc>
          <w:tcPr>
            <w:tcW w:w="5785" w:type="dxa"/>
            <w:shd w:val="clear" w:color="auto" w:fill="auto"/>
            <w:tcMar>
              <w:left w:w="57" w:type="dxa"/>
              <w:right w:w="57" w:type="dxa"/>
            </w:tcMar>
            <w:vAlign w:val="center"/>
          </w:tcPr>
          <w:p w14:paraId="03477014">
            <w:pPr>
              <w:pageBreakBefore w:val="0"/>
              <w:kinsoku/>
              <w:overflowPunct/>
              <w:topLinePunct w:val="0"/>
              <w:bidi w:val="0"/>
              <w:spacing w:line="360" w:lineRule="auto"/>
              <w:outlineLvl w:val="9"/>
              <w:rPr>
                <w:rFonts w:hint="default" w:eastAsia="宋体" w:asciiTheme="minorHAnsi" w:hAnsiTheme="minorHAnsi" w:cstheme="minorBidi"/>
                <w:kern w:val="2"/>
                <w:sz w:val="24"/>
                <w:szCs w:val="24"/>
                <w:highlight w:val="none"/>
                <w:lang w:val="en-US" w:eastAsia="zh-CN" w:bidi="ar-SA"/>
              </w:rPr>
            </w:pPr>
            <w:r>
              <w:rPr>
                <w:rFonts w:hint="eastAsia" w:ascii="宋体" w:hAnsi="宋体" w:eastAsia="宋体" w:cs="宋体"/>
                <w:sz w:val="24"/>
                <w:szCs w:val="24"/>
                <w:highlight w:val="none"/>
              </w:rPr>
              <w:t xml:space="preserve">施工方案与技术措施，各项主要内容的措施科学先进、计划合理可行、流水段的划分、各项交叉作业切合实际，合理可行的得 </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基本可行的得 5 分，差的得1分，缺项不得分。</w:t>
            </w:r>
          </w:p>
        </w:tc>
      </w:tr>
      <w:tr w14:paraId="116F9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jc w:val="center"/>
        </w:trPr>
        <w:tc>
          <w:tcPr>
            <w:tcW w:w="935" w:type="dxa"/>
            <w:vMerge w:val="continue"/>
            <w:tcMar>
              <w:left w:w="57" w:type="dxa"/>
              <w:right w:w="57" w:type="dxa"/>
            </w:tcMar>
            <w:vAlign w:val="center"/>
          </w:tcPr>
          <w:p w14:paraId="477E5291">
            <w:pPr>
              <w:pStyle w:val="20"/>
              <w:pageBreakBefore w:val="0"/>
              <w:kinsoku/>
              <w:overflowPunct/>
              <w:topLinePunct w:val="0"/>
              <w:bidi w:val="0"/>
              <w:spacing w:before="0" w:beforeAutospacing="0" w:after="0" w:afterAutospacing="0" w:line="360" w:lineRule="auto"/>
              <w:jc w:val="center"/>
              <w:outlineLvl w:val="9"/>
              <w:rPr>
                <w:rFonts w:hint="eastAsia" w:ascii="宋体" w:hAnsi="宋体" w:eastAsia="宋体" w:cs="宋体"/>
                <w:highlight w:val="none"/>
                <w:lang w:val="en-US" w:eastAsia="zh-CN"/>
              </w:rPr>
            </w:pPr>
          </w:p>
        </w:tc>
        <w:tc>
          <w:tcPr>
            <w:tcW w:w="1276" w:type="dxa"/>
            <w:vMerge w:val="continue"/>
            <w:tcMar>
              <w:left w:w="57" w:type="dxa"/>
              <w:right w:w="57" w:type="dxa"/>
            </w:tcMar>
            <w:vAlign w:val="center"/>
          </w:tcPr>
          <w:p w14:paraId="597C4632">
            <w:pPr>
              <w:pageBreakBefore w:val="0"/>
              <w:kinsoku/>
              <w:overflowPunct/>
              <w:topLinePunct w:val="0"/>
              <w:bidi w:val="0"/>
              <w:spacing w:line="360" w:lineRule="auto"/>
              <w:jc w:val="center"/>
              <w:outlineLvl w:val="9"/>
              <w:rPr>
                <w:rFonts w:hint="eastAsia" w:ascii="宋体" w:hAnsi="宋体" w:cs="宋体"/>
                <w:sz w:val="24"/>
                <w:szCs w:val="24"/>
                <w:highlight w:val="none"/>
              </w:rPr>
            </w:pPr>
          </w:p>
        </w:tc>
        <w:tc>
          <w:tcPr>
            <w:tcW w:w="1830" w:type="dxa"/>
            <w:shd w:val="clear" w:color="auto" w:fill="auto"/>
            <w:tcMar>
              <w:left w:w="57" w:type="dxa"/>
              <w:right w:w="57" w:type="dxa"/>
            </w:tcMar>
            <w:vAlign w:val="center"/>
          </w:tcPr>
          <w:p w14:paraId="604D9BEF">
            <w:pPr>
              <w:pageBreakBefore w:val="0"/>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质量管理体系与措施</w:t>
            </w:r>
          </w:p>
          <w:p w14:paraId="5E58D3B3">
            <w:pPr>
              <w:pageBreakBefore w:val="0"/>
              <w:kinsoku/>
              <w:overflowPunct/>
              <w:topLinePunct w:val="0"/>
              <w:bidi w:val="0"/>
              <w:spacing w:line="360" w:lineRule="auto"/>
              <w:jc w:val="center"/>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分）</w:t>
            </w:r>
          </w:p>
        </w:tc>
        <w:tc>
          <w:tcPr>
            <w:tcW w:w="5785" w:type="dxa"/>
            <w:shd w:val="clear" w:color="auto" w:fill="auto"/>
            <w:tcMar>
              <w:left w:w="57" w:type="dxa"/>
              <w:right w:w="57" w:type="dxa"/>
            </w:tcMar>
            <w:vAlign w:val="center"/>
          </w:tcPr>
          <w:p w14:paraId="451067DB">
            <w:pPr>
              <w:pageBreakBefore w:val="0"/>
              <w:kinsoku/>
              <w:overflowPunct/>
              <w:topLinePunct w:val="0"/>
              <w:bidi w:val="0"/>
              <w:spacing w:line="360" w:lineRule="auto"/>
              <w:outlineLvl w:val="9"/>
              <w:rPr>
                <w:rFonts w:hint="eastAsia" w:ascii="宋体" w:hAnsi="宋体" w:eastAsia="宋体" w:cs="宋体"/>
                <w:kern w:val="2"/>
                <w:sz w:val="24"/>
                <w:szCs w:val="24"/>
                <w:highlight w:val="none"/>
                <w:lang w:val="zh-TW" w:eastAsia="zh-TW" w:bidi="ar-SA"/>
              </w:rPr>
            </w:pPr>
            <w:r>
              <w:rPr>
                <w:rFonts w:hint="eastAsia" w:ascii="宋体" w:hAnsi="宋体" w:eastAsia="宋体" w:cs="宋体"/>
                <w:sz w:val="24"/>
                <w:szCs w:val="24"/>
                <w:highlight w:val="none"/>
              </w:rPr>
              <w:t>质量管理体系与措施合理、详实</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可行的得</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基本可行的得 5 分，差的得1分，缺项不得分。</w:t>
            </w:r>
          </w:p>
        </w:tc>
      </w:tr>
      <w:tr w14:paraId="5F104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jc w:val="center"/>
        </w:trPr>
        <w:tc>
          <w:tcPr>
            <w:tcW w:w="935" w:type="dxa"/>
            <w:vMerge w:val="continue"/>
            <w:tcMar>
              <w:left w:w="57" w:type="dxa"/>
              <w:right w:w="57" w:type="dxa"/>
            </w:tcMar>
            <w:vAlign w:val="center"/>
          </w:tcPr>
          <w:p w14:paraId="48B11873">
            <w:pPr>
              <w:pStyle w:val="20"/>
              <w:pageBreakBefore w:val="0"/>
              <w:kinsoku/>
              <w:overflowPunct/>
              <w:topLinePunct w:val="0"/>
              <w:bidi w:val="0"/>
              <w:spacing w:before="0" w:beforeAutospacing="0" w:after="0" w:afterAutospacing="0" w:line="360" w:lineRule="auto"/>
              <w:jc w:val="center"/>
              <w:outlineLvl w:val="9"/>
              <w:rPr>
                <w:rFonts w:hint="eastAsia" w:ascii="宋体" w:hAnsi="宋体" w:eastAsia="宋体" w:cs="宋体"/>
                <w:highlight w:val="none"/>
                <w:lang w:val="en-US" w:eastAsia="zh-CN"/>
              </w:rPr>
            </w:pPr>
          </w:p>
        </w:tc>
        <w:tc>
          <w:tcPr>
            <w:tcW w:w="1276" w:type="dxa"/>
            <w:vMerge w:val="continue"/>
            <w:tcMar>
              <w:left w:w="57" w:type="dxa"/>
              <w:right w:w="57" w:type="dxa"/>
            </w:tcMar>
            <w:vAlign w:val="center"/>
          </w:tcPr>
          <w:p w14:paraId="4A35EB4B">
            <w:pPr>
              <w:pageBreakBefore w:val="0"/>
              <w:kinsoku/>
              <w:overflowPunct/>
              <w:topLinePunct w:val="0"/>
              <w:bidi w:val="0"/>
              <w:spacing w:line="360" w:lineRule="auto"/>
              <w:jc w:val="center"/>
              <w:outlineLvl w:val="9"/>
              <w:rPr>
                <w:rFonts w:hint="eastAsia" w:ascii="宋体" w:hAnsi="宋体" w:cs="宋体"/>
                <w:sz w:val="24"/>
                <w:szCs w:val="24"/>
                <w:highlight w:val="none"/>
              </w:rPr>
            </w:pPr>
          </w:p>
        </w:tc>
        <w:tc>
          <w:tcPr>
            <w:tcW w:w="1830" w:type="dxa"/>
            <w:shd w:val="clear" w:color="auto" w:fill="auto"/>
            <w:tcMar>
              <w:left w:w="57" w:type="dxa"/>
              <w:right w:w="57" w:type="dxa"/>
            </w:tcMar>
            <w:vAlign w:val="center"/>
          </w:tcPr>
          <w:p w14:paraId="4405A5C9">
            <w:pPr>
              <w:pageBreakBefore w:val="0"/>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安全管理体系与措施</w:t>
            </w:r>
          </w:p>
          <w:p w14:paraId="092EF184">
            <w:pPr>
              <w:pageBreakBefore w:val="0"/>
              <w:kinsoku/>
              <w:overflowPunct/>
              <w:topLinePunct w:val="0"/>
              <w:bidi w:val="0"/>
              <w:spacing w:line="360" w:lineRule="auto"/>
              <w:jc w:val="center"/>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c>
          <w:tcPr>
            <w:tcW w:w="5785" w:type="dxa"/>
            <w:shd w:val="clear" w:color="auto" w:fill="auto"/>
            <w:tcMar>
              <w:left w:w="57" w:type="dxa"/>
              <w:right w:w="57" w:type="dxa"/>
            </w:tcMar>
            <w:vAlign w:val="center"/>
          </w:tcPr>
          <w:p w14:paraId="4D262375">
            <w:pPr>
              <w:pageBreakBefore w:val="0"/>
              <w:kinsoku/>
              <w:overflowPunct/>
              <w:topLinePunct w:val="0"/>
              <w:bidi w:val="0"/>
              <w:spacing w:line="360" w:lineRule="auto"/>
              <w:outlineLvl w:val="9"/>
              <w:rPr>
                <w:rFonts w:hint="eastAsia" w:ascii="宋体" w:hAnsi="宋体" w:eastAsia="宋体" w:cs="宋体"/>
                <w:kern w:val="2"/>
                <w:sz w:val="24"/>
                <w:szCs w:val="24"/>
                <w:highlight w:val="none"/>
                <w:lang w:val="zh-TW" w:eastAsia="zh-TW" w:bidi="ar-SA"/>
              </w:rPr>
            </w:pPr>
            <w:r>
              <w:rPr>
                <w:rFonts w:hint="eastAsia" w:ascii="宋体" w:hAnsi="宋体" w:eastAsia="宋体" w:cs="宋体"/>
                <w:sz w:val="24"/>
                <w:szCs w:val="24"/>
                <w:highlight w:val="none"/>
              </w:rPr>
              <w:t>安全管理体系和措施合理完整、安全管理制度严谨可行的得</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基本可行的得 3 分，差的得1分，缺项不得分。</w:t>
            </w:r>
          </w:p>
        </w:tc>
      </w:tr>
      <w:tr w14:paraId="7F20D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935" w:type="dxa"/>
            <w:vMerge w:val="continue"/>
            <w:tcMar>
              <w:left w:w="57" w:type="dxa"/>
              <w:right w:w="57" w:type="dxa"/>
            </w:tcMar>
            <w:vAlign w:val="center"/>
          </w:tcPr>
          <w:p w14:paraId="0DF4AECF">
            <w:pPr>
              <w:pStyle w:val="20"/>
              <w:pageBreakBefore w:val="0"/>
              <w:kinsoku/>
              <w:overflowPunct/>
              <w:topLinePunct w:val="0"/>
              <w:bidi w:val="0"/>
              <w:spacing w:before="0" w:beforeAutospacing="0" w:after="0" w:afterAutospacing="0" w:line="360" w:lineRule="auto"/>
              <w:jc w:val="center"/>
              <w:outlineLvl w:val="9"/>
              <w:rPr>
                <w:rFonts w:hint="eastAsia" w:ascii="宋体" w:hAnsi="宋体" w:eastAsia="宋体" w:cs="宋体"/>
                <w:highlight w:val="none"/>
                <w:lang w:val="en-US" w:eastAsia="zh-CN"/>
              </w:rPr>
            </w:pPr>
          </w:p>
        </w:tc>
        <w:tc>
          <w:tcPr>
            <w:tcW w:w="1276" w:type="dxa"/>
            <w:vMerge w:val="continue"/>
            <w:tcMar>
              <w:left w:w="57" w:type="dxa"/>
              <w:right w:w="57" w:type="dxa"/>
            </w:tcMar>
            <w:vAlign w:val="center"/>
          </w:tcPr>
          <w:p w14:paraId="4F6DDACD">
            <w:pPr>
              <w:pageBreakBefore w:val="0"/>
              <w:kinsoku/>
              <w:overflowPunct/>
              <w:topLinePunct w:val="0"/>
              <w:bidi w:val="0"/>
              <w:spacing w:line="360" w:lineRule="auto"/>
              <w:jc w:val="center"/>
              <w:outlineLvl w:val="9"/>
              <w:rPr>
                <w:rFonts w:hint="eastAsia" w:ascii="宋体" w:hAnsi="宋体" w:cs="宋体"/>
                <w:sz w:val="24"/>
                <w:szCs w:val="24"/>
                <w:highlight w:val="none"/>
              </w:rPr>
            </w:pPr>
          </w:p>
        </w:tc>
        <w:tc>
          <w:tcPr>
            <w:tcW w:w="1830" w:type="dxa"/>
            <w:shd w:val="clear" w:color="auto" w:fill="auto"/>
            <w:tcMar>
              <w:left w:w="57" w:type="dxa"/>
              <w:right w:w="57" w:type="dxa"/>
            </w:tcMar>
            <w:vAlign w:val="center"/>
          </w:tcPr>
          <w:p w14:paraId="09FCC2A2">
            <w:pPr>
              <w:pageBreakBefore w:val="0"/>
              <w:kinsoku/>
              <w:overflowPunct/>
              <w:topLinePunct w:val="0"/>
              <w:bidi w:val="0"/>
              <w:spacing w:line="360" w:lineRule="auto"/>
              <w:jc w:val="center"/>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文明施工、</w:t>
            </w:r>
            <w:r>
              <w:rPr>
                <w:rFonts w:hint="eastAsia" w:ascii="宋体" w:hAnsi="宋体" w:eastAsia="宋体" w:cs="宋体"/>
                <w:sz w:val="24"/>
                <w:szCs w:val="24"/>
                <w:highlight w:val="none"/>
              </w:rPr>
              <w:t>环境保护管理体系</w:t>
            </w:r>
            <w:r>
              <w:rPr>
                <w:rFonts w:hint="eastAsia" w:ascii="宋体" w:hAnsi="宋体" w:eastAsia="宋体" w:cs="宋体"/>
                <w:sz w:val="24"/>
                <w:szCs w:val="24"/>
                <w:highlight w:val="none"/>
                <w:lang w:eastAsia="zh-CN"/>
              </w:rPr>
              <w:t>及施工现场扬尘治理措施</w:t>
            </w:r>
          </w:p>
          <w:p w14:paraId="0CCC4648">
            <w:pPr>
              <w:pageBreakBefore w:val="0"/>
              <w:kinsoku/>
              <w:overflowPunct/>
              <w:topLinePunct w:val="0"/>
              <w:bidi w:val="0"/>
              <w:spacing w:line="360" w:lineRule="auto"/>
              <w:jc w:val="center"/>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c>
          <w:tcPr>
            <w:tcW w:w="5785" w:type="dxa"/>
            <w:shd w:val="clear" w:color="auto" w:fill="auto"/>
            <w:tcMar>
              <w:left w:w="57" w:type="dxa"/>
              <w:right w:w="57" w:type="dxa"/>
            </w:tcMar>
            <w:vAlign w:val="center"/>
          </w:tcPr>
          <w:p w14:paraId="3FABD7E6">
            <w:pPr>
              <w:pageBreakBefore w:val="0"/>
              <w:kinsoku/>
              <w:overflowPunct/>
              <w:topLinePunct w:val="0"/>
              <w:bidi w:val="0"/>
              <w:spacing w:line="360" w:lineRule="auto"/>
              <w:outlineLvl w:val="9"/>
              <w:rPr>
                <w:rFonts w:hint="eastAsia" w:ascii="宋体" w:hAnsi="宋体" w:eastAsia="宋体" w:cs="宋体"/>
                <w:kern w:val="2"/>
                <w:sz w:val="24"/>
                <w:szCs w:val="24"/>
                <w:highlight w:val="none"/>
                <w:lang w:val="zh-TW" w:eastAsia="zh-TW" w:bidi="ar-SA"/>
              </w:rPr>
            </w:pPr>
            <w:r>
              <w:rPr>
                <w:rFonts w:hint="eastAsia" w:ascii="宋体" w:hAnsi="宋体" w:eastAsia="宋体" w:cs="宋体"/>
                <w:sz w:val="24"/>
                <w:szCs w:val="24"/>
                <w:highlight w:val="none"/>
                <w:lang w:eastAsia="zh-CN"/>
              </w:rPr>
              <w:t>文明施工、</w:t>
            </w:r>
            <w:r>
              <w:rPr>
                <w:rFonts w:hint="eastAsia" w:ascii="宋体" w:hAnsi="宋体" w:eastAsia="宋体" w:cs="宋体"/>
                <w:sz w:val="24"/>
                <w:szCs w:val="24"/>
                <w:highlight w:val="none"/>
              </w:rPr>
              <w:t>环境保护管理体系</w:t>
            </w:r>
            <w:r>
              <w:rPr>
                <w:rFonts w:hint="eastAsia" w:ascii="宋体" w:hAnsi="宋体" w:eastAsia="宋体" w:cs="宋体"/>
                <w:sz w:val="24"/>
                <w:szCs w:val="24"/>
                <w:highlight w:val="none"/>
                <w:lang w:eastAsia="zh-CN"/>
              </w:rPr>
              <w:t>及施工现场扬尘治理措施</w:t>
            </w:r>
            <w:r>
              <w:rPr>
                <w:rFonts w:hint="eastAsia" w:ascii="宋体" w:hAnsi="宋体" w:eastAsia="宋体" w:cs="宋体"/>
                <w:sz w:val="24"/>
                <w:szCs w:val="24"/>
                <w:highlight w:val="none"/>
              </w:rPr>
              <w:t>明确、合理、切实可行的得</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基本可行的得 3 分，差的得1分，缺项不得分。</w:t>
            </w:r>
          </w:p>
        </w:tc>
      </w:tr>
      <w:tr w14:paraId="2BE4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935" w:type="dxa"/>
            <w:vMerge w:val="continue"/>
            <w:tcMar>
              <w:left w:w="57" w:type="dxa"/>
              <w:right w:w="57" w:type="dxa"/>
            </w:tcMar>
            <w:vAlign w:val="center"/>
          </w:tcPr>
          <w:p w14:paraId="44D6E572">
            <w:pPr>
              <w:pStyle w:val="20"/>
              <w:pageBreakBefore w:val="0"/>
              <w:kinsoku/>
              <w:overflowPunct/>
              <w:topLinePunct w:val="0"/>
              <w:bidi w:val="0"/>
              <w:spacing w:before="0" w:beforeAutospacing="0" w:after="0" w:afterAutospacing="0" w:line="360" w:lineRule="auto"/>
              <w:jc w:val="center"/>
              <w:outlineLvl w:val="9"/>
              <w:rPr>
                <w:rFonts w:hint="eastAsia" w:ascii="宋体" w:hAnsi="宋体" w:eastAsia="宋体" w:cs="宋体"/>
                <w:highlight w:val="none"/>
                <w:lang w:val="en-US" w:eastAsia="zh-CN"/>
              </w:rPr>
            </w:pPr>
          </w:p>
        </w:tc>
        <w:tc>
          <w:tcPr>
            <w:tcW w:w="1276" w:type="dxa"/>
            <w:vMerge w:val="continue"/>
            <w:tcMar>
              <w:left w:w="57" w:type="dxa"/>
              <w:right w:w="57" w:type="dxa"/>
            </w:tcMar>
            <w:vAlign w:val="center"/>
          </w:tcPr>
          <w:p w14:paraId="38052D61">
            <w:pPr>
              <w:pageBreakBefore w:val="0"/>
              <w:kinsoku/>
              <w:overflowPunct/>
              <w:topLinePunct w:val="0"/>
              <w:bidi w:val="0"/>
              <w:spacing w:line="360" w:lineRule="auto"/>
              <w:jc w:val="center"/>
              <w:outlineLvl w:val="9"/>
              <w:rPr>
                <w:rFonts w:hint="eastAsia" w:ascii="宋体" w:hAnsi="宋体" w:cs="宋体"/>
                <w:sz w:val="24"/>
                <w:szCs w:val="24"/>
                <w:highlight w:val="none"/>
              </w:rPr>
            </w:pPr>
          </w:p>
        </w:tc>
        <w:tc>
          <w:tcPr>
            <w:tcW w:w="1830" w:type="dxa"/>
            <w:shd w:val="clear" w:color="auto" w:fill="auto"/>
            <w:tcMar>
              <w:left w:w="57" w:type="dxa"/>
              <w:right w:w="57" w:type="dxa"/>
            </w:tcMar>
            <w:vAlign w:val="center"/>
          </w:tcPr>
          <w:p w14:paraId="5EE136A8">
            <w:pPr>
              <w:pageBreakBefore w:val="0"/>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工期保证</w:t>
            </w:r>
            <w:r>
              <w:rPr>
                <w:rFonts w:hint="eastAsia" w:ascii="宋体" w:hAnsi="宋体" w:eastAsia="宋体" w:cs="宋体"/>
                <w:sz w:val="24"/>
                <w:szCs w:val="24"/>
                <w:highlight w:val="none"/>
              </w:rPr>
              <w:t xml:space="preserve">措施 </w:t>
            </w:r>
          </w:p>
          <w:p w14:paraId="00D5FAC7">
            <w:pPr>
              <w:pageBreakBefore w:val="0"/>
              <w:kinsoku/>
              <w:overflowPunct/>
              <w:topLinePunct w:val="0"/>
              <w:bidi w:val="0"/>
              <w:spacing w:line="360" w:lineRule="auto"/>
              <w:jc w:val="center"/>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tc>
        <w:tc>
          <w:tcPr>
            <w:tcW w:w="5785" w:type="dxa"/>
            <w:shd w:val="clear" w:color="auto" w:fill="auto"/>
            <w:tcMar>
              <w:left w:w="57" w:type="dxa"/>
              <w:right w:w="57" w:type="dxa"/>
            </w:tcMar>
            <w:vAlign w:val="center"/>
          </w:tcPr>
          <w:p w14:paraId="374D8527">
            <w:pPr>
              <w:pageBreakBefore w:val="0"/>
              <w:kinsoku/>
              <w:overflowPunct/>
              <w:topLinePunct w:val="0"/>
              <w:bidi w:val="0"/>
              <w:spacing w:line="360" w:lineRule="auto"/>
              <w:outlineLvl w:val="9"/>
              <w:rPr>
                <w:rFonts w:hint="eastAsia" w:ascii="宋体" w:hAnsi="宋体" w:eastAsia="宋体" w:cs="宋体"/>
                <w:kern w:val="2"/>
                <w:sz w:val="24"/>
                <w:szCs w:val="24"/>
                <w:highlight w:val="none"/>
                <w:lang w:val="zh-TW" w:eastAsia="zh-TW" w:bidi="ar-SA"/>
              </w:rPr>
            </w:pPr>
            <w:r>
              <w:rPr>
                <w:rFonts w:hint="eastAsia" w:ascii="宋体" w:hAnsi="宋体" w:eastAsia="宋体" w:cs="宋体"/>
                <w:sz w:val="24"/>
                <w:szCs w:val="24"/>
                <w:highlight w:val="none"/>
                <w:lang w:eastAsia="zh-CN"/>
              </w:rPr>
              <w:t>工期承诺满足招标文件要求，工期保证措施合理且有针对性，有具体的违约责任承诺的得</w:t>
            </w:r>
            <w:r>
              <w:rPr>
                <w:rFonts w:hint="eastAsia" w:ascii="宋体" w:hAnsi="宋体" w:eastAsia="宋体" w:cs="宋体"/>
                <w:sz w:val="24"/>
                <w:szCs w:val="24"/>
                <w:highlight w:val="none"/>
                <w:lang w:val="en-US" w:eastAsia="zh-CN"/>
              </w:rPr>
              <w:t>3分，基本满足的得2分，差的得1分，缺项不得分。</w:t>
            </w:r>
          </w:p>
        </w:tc>
      </w:tr>
      <w:tr w14:paraId="5A757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935" w:type="dxa"/>
            <w:vMerge w:val="continue"/>
            <w:tcMar>
              <w:left w:w="57" w:type="dxa"/>
              <w:right w:w="57" w:type="dxa"/>
            </w:tcMar>
            <w:vAlign w:val="center"/>
          </w:tcPr>
          <w:p w14:paraId="1AF6B43B">
            <w:pPr>
              <w:pStyle w:val="20"/>
              <w:pageBreakBefore w:val="0"/>
              <w:kinsoku/>
              <w:overflowPunct/>
              <w:topLinePunct w:val="0"/>
              <w:bidi w:val="0"/>
              <w:spacing w:before="0" w:beforeAutospacing="0" w:after="0" w:afterAutospacing="0" w:line="360" w:lineRule="auto"/>
              <w:jc w:val="center"/>
              <w:outlineLvl w:val="9"/>
              <w:rPr>
                <w:rFonts w:hint="eastAsia" w:ascii="宋体" w:hAnsi="宋体" w:eastAsia="宋体" w:cs="宋体"/>
                <w:highlight w:val="none"/>
                <w:lang w:val="en-US" w:eastAsia="zh-CN"/>
              </w:rPr>
            </w:pPr>
          </w:p>
        </w:tc>
        <w:tc>
          <w:tcPr>
            <w:tcW w:w="1276" w:type="dxa"/>
            <w:vMerge w:val="continue"/>
            <w:tcMar>
              <w:left w:w="57" w:type="dxa"/>
              <w:right w:w="57" w:type="dxa"/>
            </w:tcMar>
            <w:vAlign w:val="center"/>
          </w:tcPr>
          <w:p w14:paraId="10D35D99">
            <w:pPr>
              <w:pageBreakBefore w:val="0"/>
              <w:kinsoku/>
              <w:overflowPunct/>
              <w:topLinePunct w:val="0"/>
              <w:bidi w:val="0"/>
              <w:spacing w:line="360" w:lineRule="auto"/>
              <w:jc w:val="center"/>
              <w:outlineLvl w:val="9"/>
              <w:rPr>
                <w:rFonts w:hint="eastAsia" w:ascii="宋体" w:hAnsi="宋体" w:cs="宋体"/>
                <w:sz w:val="24"/>
                <w:szCs w:val="24"/>
                <w:highlight w:val="none"/>
              </w:rPr>
            </w:pPr>
          </w:p>
        </w:tc>
        <w:tc>
          <w:tcPr>
            <w:tcW w:w="1830" w:type="dxa"/>
            <w:shd w:val="clear" w:color="auto" w:fill="auto"/>
            <w:tcMar>
              <w:left w:w="57" w:type="dxa"/>
              <w:right w:w="57" w:type="dxa"/>
            </w:tcMar>
            <w:vAlign w:val="center"/>
          </w:tcPr>
          <w:p w14:paraId="24AAE72E">
            <w:pPr>
              <w:pageBreakBefore w:val="0"/>
              <w:kinsoku/>
              <w:overflowPunct/>
              <w:topLinePunct w:val="0"/>
              <w:bidi w:val="0"/>
              <w:spacing w:line="360" w:lineRule="auto"/>
              <w:jc w:val="center"/>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施工进度表与网络计划图</w:t>
            </w:r>
          </w:p>
          <w:p w14:paraId="5473338B">
            <w:pPr>
              <w:pageBreakBefore w:val="0"/>
              <w:kinsoku/>
              <w:overflowPunct/>
              <w:topLinePunct w:val="0"/>
              <w:bidi w:val="0"/>
              <w:spacing w:line="360" w:lineRule="auto"/>
              <w:jc w:val="center"/>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3分</w:t>
            </w:r>
            <w:r>
              <w:rPr>
                <w:rFonts w:hint="eastAsia" w:ascii="宋体" w:hAnsi="宋体" w:eastAsia="宋体" w:cs="宋体"/>
                <w:sz w:val="24"/>
                <w:szCs w:val="24"/>
                <w:highlight w:val="none"/>
                <w:lang w:eastAsia="zh-CN"/>
              </w:rPr>
              <w:t>）</w:t>
            </w:r>
          </w:p>
        </w:tc>
        <w:tc>
          <w:tcPr>
            <w:tcW w:w="5785" w:type="dxa"/>
            <w:shd w:val="clear" w:color="auto" w:fill="auto"/>
            <w:tcMar>
              <w:left w:w="57" w:type="dxa"/>
              <w:right w:w="57" w:type="dxa"/>
            </w:tcMar>
            <w:vAlign w:val="center"/>
          </w:tcPr>
          <w:p w14:paraId="41BB7315">
            <w:pPr>
              <w:pageBreakBefore w:val="0"/>
              <w:kinsoku/>
              <w:overflowPunct/>
              <w:topLinePunct w:val="0"/>
              <w:bidi w:val="0"/>
              <w:spacing w:line="360" w:lineRule="auto"/>
              <w:outlineLvl w:val="9"/>
              <w:rPr>
                <w:rFonts w:hint="eastAsia" w:ascii="宋体" w:hAnsi="宋体" w:eastAsia="宋体" w:cs="宋体"/>
                <w:kern w:val="2"/>
                <w:sz w:val="24"/>
                <w:szCs w:val="24"/>
                <w:highlight w:val="none"/>
                <w:lang w:val="zh-TW" w:eastAsia="zh-TW" w:bidi="ar-SA"/>
              </w:rPr>
            </w:pPr>
            <w:r>
              <w:rPr>
                <w:rFonts w:hint="eastAsia" w:ascii="宋体" w:hAnsi="宋体" w:eastAsia="宋体" w:cs="宋体"/>
                <w:sz w:val="24"/>
                <w:szCs w:val="24"/>
                <w:highlight w:val="none"/>
                <w:lang w:eastAsia="zh-CN"/>
              </w:rPr>
              <w:t>施工进度表与网络计划图，</w:t>
            </w:r>
            <w:r>
              <w:rPr>
                <w:rFonts w:hint="eastAsia" w:ascii="宋体" w:hAnsi="宋体" w:eastAsia="宋体" w:cs="宋体"/>
                <w:sz w:val="24"/>
                <w:szCs w:val="24"/>
                <w:highlight w:val="none"/>
              </w:rPr>
              <w:t>劳动力曲线及不均匀系数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关键路线清晰，各阶段施工进度计划明确、详实，措施合理、可行、得力，各阶段劳动力安排合理</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基本合理的得2分，差的得1分，缺项不得分。</w:t>
            </w:r>
          </w:p>
        </w:tc>
      </w:tr>
      <w:tr w14:paraId="05975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935" w:type="dxa"/>
            <w:vMerge w:val="continue"/>
            <w:tcMar>
              <w:left w:w="57" w:type="dxa"/>
              <w:right w:w="57" w:type="dxa"/>
            </w:tcMar>
            <w:vAlign w:val="center"/>
          </w:tcPr>
          <w:p w14:paraId="33F912D1">
            <w:pPr>
              <w:pStyle w:val="20"/>
              <w:pageBreakBefore w:val="0"/>
              <w:kinsoku/>
              <w:overflowPunct/>
              <w:topLinePunct w:val="0"/>
              <w:bidi w:val="0"/>
              <w:spacing w:before="0" w:beforeAutospacing="0" w:after="0" w:afterAutospacing="0" w:line="360" w:lineRule="auto"/>
              <w:jc w:val="center"/>
              <w:outlineLvl w:val="9"/>
              <w:rPr>
                <w:rFonts w:hint="eastAsia" w:ascii="宋体" w:hAnsi="宋体" w:eastAsia="宋体" w:cs="宋体"/>
                <w:highlight w:val="none"/>
                <w:lang w:val="en-US" w:eastAsia="zh-CN"/>
              </w:rPr>
            </w:pPr>
          </w:p>
        </w:tc>
        <w:tc>
          <w:tcPr>
            <w:tcW w:w="1276" w:type="dxa"/>
            <w:vMerge w:val="continue"/>
            <w:tcMar>
              <w:left w:w="57" w:type="dxa"/>
              <w:right w:w="57" w:type="dxa"/>
            </w:tcMar>
            <w:vAlign w:val="center"/>
          </w:tcPr>
          <w:p w14:paraId="01F6B995">
            <w:pPr>
              <w:pageBreakBefore w:val="0"/>
              <w:kinsoku/>
              <w:overflowPunct/>
              <w:topLinePunct w:val="0"/>
              <w:bidi w:val="0"/>
              <w:spacing w:line="360" w:lineRule="auto"/>
              <w:jc w:val="center"/>
              <w:outlineLvl w:val="9"/>
              <w:rPr>
                <w:rFonts w:hint="eastAsia" w:ascii="宋体" w:hAnsi="宋体" w:cs="宋体"/>
                <w:sz w:val="24"/>
                <w:szCs w:val="24"/>
                <w:highlight w:val="none"/>
              </w:rPr>
            </w:pPr>
          </w:p>
        </w:tc>
        <w:tc>
          <w:tcPr>
            <w:tcW w:w="1830" w:type="dxa"/>
            <w:shd w:val="clear" w:color="auto" w:fill="auto"/>
            <w:tcMar>
              <w:left w:w="57" w:type="dxa"/>
              <w:right w:w="57" w:type="dxa"/>
            </w:tcMar>
            <w:vAlign w:val="center"/>
          </w:tcPr>
          <w:p w14:paraId="0ECEC2F2">
            <w:pPr>
              <w:pageBreakBefore w:val="0"/>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拟投入</w:t>
            </w:r>
            <w:r>
              <w:rPr>
                <w:rFonts w:hint="eastAsia" w:ascii="宋体" w:hAnsi="宋体" w:eastAsia="宋体" w:cs="宋体"/>
                <w:sz w:val="24"/>
                <w:szCs w:val="24"/>
                <w:highlight w:val="none"/>
              </w:rPr>
              <w:t>资源配备计划</w:t>
            </w:r>
          </w:p>
          <w:p w14:paraId="650B8FED">
            <w:pPr>
              <w:pageBreakBefore w:val="0"/>
              <w:kinsoku/>
              <w:overflowPunct/>
              <w:topLinePunct w:val="0"/>
              <w:bidi w:val="0"/>
              <w:spacing w:line="360" w:lineRule="auto"/>
              <w:jc w:val="center"/>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c>
          <w:tcPr>
            <w:tcW w:w="5785" w:type="dxa"/>
            <w:shd w:val="clear" w:color="auto" w:fill="auto"/>
            <w:tcMar>
              <w:left w:w="57" w:type="dxa"/>
              <w:right w:w="57" w:type="dxa"/>
            </w:tcMar>
            <w:vAlign w:val="center"/>
          </w:tcPr>
          <w:p w14:paraId="5934A96A">
            <w:pPr>
              <w:pageBreakBefore w:val="0"/>
              <w:kinsoku/>
              <w:overflowPunct/>
              <w:topLinePunct w:val="0"/>
              <w:bidi w:val="0"/>
              <w:spacing w:line="360" w:lineRule="auto"/>
              <w:outlineLvl w:val="9"/>
              <w:rPr>
                <w:rFonts w:hint="eastAsia" w:ascii="宋体" w:hAnsi="宋体" w:eastAsia="宋体" w:cs="宋体"/>
                <w:kern w:val="2"/>
                <w:sz w:val="24"/>
                <w:szCs w:val="24"/>
                <w:highlight w:val="none"/>
                <w:lang w:val="zh-TW" w:eastAsia="zh-TW" w:bidi="ar-SA"/>
              </w:rPr>
            </w:pPr>
            <w:r>
              <w:rPr>
                <w:rFonts w:hint="eastAsia" w:ascii="宋体" w:hAnsi="宋体" w:eastAsia="宋体" w:cs="宋体"/>
                <w:sz w:val="24"/>
                <w:szCs w:val="24"/>
                <w:highlight w:val="none"/>
              </w:rPr>
              <w:t>根据机械设备配备计划、主要材料配备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劳动力配备及进场计划表完整齐全得</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，基本齐全的得</w:t>
            </w:r>
            <w:r>
              <w:rPr>
                <w:rFonts w:hint="eastAsia" w:ascii="宋体" w:hAnsi="宋体" w:eastAsia="宋体" w:cs="宋体"/>
                <w:sz w:val="24"/>
                <w:szCs w:val="24"/>
                <w:highlight w:val="none"/>
                <w:lang w:val="en-US" w:eastAsia="zh-CN"/>
              </w:rPr>
              <w:t>3分，差的得1分，缺项不得分。</w:t>
            </w:r>
          </w:p>
        </w:tc>
      </w:tr>
      <w:tr w14:paraId="6BF02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jc w:val="center"/>
        </w:trPr>
        <w:tc>
          <w:tcPr>
            <w:tcW w:w="935" w:type="dxa"/>
            <w:vMerge w:val="continue"/>
            <w:tcMar>
              <w:left w:w="57" w:type="dxa"/>
              <w:right w:w="57" w:type="dxa"/>
            </w:tcMar>
            <w:vAlign w:val="center"/>
          </w:tcPr>
          <w:p w14:paraId="3E2C493B">
            <w:pPr>
              <w:pStyle w:val="20"/>
              <w:pageBreakBefore w:val="0"/>
              <w:kinsoku/>
              <w:overflowPunct/>
              <w:topLinePunct w:val="0"/>
              <w:bidi w:val="0"/>
              <w:spacing w:before="0" w:beforeAutospacing="0" w:after="0" w:afterAutospacing="0" w:line="360" w:lineRule="auto"/>
              <w:jc w:val="center"/>
              <w:outlineLvl w:val="9"/>
              <w:rPr>
                <w:rFonts w:hint="eastAsia" w:ascii="宋体" w:hAnsi="宋体" w:eastAsia="宋体" w:cs="宋体"/>
                <w:highlight w:val="none"/>
                <w:lang w:val="en-US" w:eastAsia="zh-CN"/>
              </w:rPr>
            </w:pPr>
          </w:p>
        </w:tc>
        <w:tc>
          <w:tcPr>
            <w:tcW w:w="1276" w:type="dxa"/>
            <w:vMerge w:val="continue"/>
            <w:tcMar>
              <w:left w:w="57" w:type="dxa"/>
              <w:right w:w="57" w:type="dxa"/>
            </w:tcMar>
            <w:vAlign w:val="center"/>
          </w:tcPr>
          <w:p w14:paraId="4A7EFA9E">
            <w:pPr>
              <w:pageBreakBefore w:val="0"/>
              <w:kinsoku/>
              <w:overflowPunct/>
              <w:topLinePunct w:val="0"/>
              <w:bidi w:val="0"/>
              <w:spacing w:line="360" w:lineRule="auto"/>
              <w:jc w:val="center"/>
              <w:outlineLvl w:val="9"/>
              <w:rPr>
                <w:rFonts w:hint="eastAsia" w:ascii="宋体" w:hAnsi="宋体" w:cs="宋体"/>
                <w:sz w:val="24"/>
                <w:szCs w:val="24"/>
                <w:highlight w:val="none"/>
              </w:rPr>
            </w:pPr>
          </w:p>
        </w:tc>
        <w:tc>
          <w:tcPr>
            <w:tcW w:w="1830" w:type="dxa"/>
            <w:shd w:val="clear" w:color="auto" w:fill="auto"/>
            <w:tcMar>
              <w:left w:w="57" w:type="dxa"/>
              <w:right w:w="57" w:type="dxa"/>
            </w:tcMar>
            <w:vAlign w:val="center"/>
          </w:tcPr>
          <w:p w14:paraId="13E3A91C">
            <w:pPr>
              <w:pageBreakBefore w:val="0"/>
              <w:kinsoku/>
              <w:overflowPunct/>
              <w:topLinePunct w:val="0"/>
              <w:bidi w:val="0"/>
              <w:spacing w:line="360" w:lineRule="auto"/>
              <w:jc w:val="center"/>
              <w:outlineLvl w:val="9"/>
              <w:rPr>
                <w:rFonts w:hint="eastAsia" w:ascii="宋体" w:hAnsi="宋体" w:cs="宋体"/>
                <w:sz w:val="24"/>
                <w:szCs w:val="24"/>
                <w:highlight w:val="none"/>
                <w:lang w:eastAsia="zh-CN"/>
              </w:rPr>
            </w:pPr>
            <w:r>
              <w:rPr>
                <w:rFonts w:hint="eastAsia" w:ascii="宋体" w:hAnsi="宋体" w:cs="宋体"/>
                <w:sz w:val="24"/>
                <w:szCs w:val="24"/>
                <w:highlight w:val="none"/>
                <w:lang w:eastAsia="zh-CN"/>
              </w:rPr>
              <w:t>风险管理措施</w:t>
            </w:r>
          </w:p>
          <w:p w14:paraId="546E31C1">
            <w:pPr>
              <w:pageBreakBefore w:val="0"/>
              <w:kinsoku/>
              <w:overflowPunct/>
              <w:topLinePunct w:val="0"/>
              <w:bidi w:val="0"/>
              <w:spacing w:line="360" w:lineRule="auto"/>
              <w:jc w:val="center"/>
              <w:outlineLvl w:val="9"/>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5分</w:t>
            </w:r>
            <w:r>
              <w:rPr>
                <w:rFonts w:hint="eastAsia" w:ascii="宋体" w:hAnsi="宋体" w:cs="宋体"/>
                <w:sz w:val="24"/>
                <w:szCs w:val="24"/>
                <w:highlight w:val="none"/>
                <w:lang w:eastAsia="zh-CN"/>
              </w:rPr>
              <w:t>）</w:t>
            </w:r>
          </w:p>
        </w:tc>
        <w:tc>
          <w:tcPr>
            <w:tcW w:w="5785" w:type="dxa"/>
            <w:shd w:val="clear" w:color="auto" w:fill="auto"/>
            <w:tcMar>
              <w:left w:w="57" w:type="dxa"/>
              <w:right w:w="57" w:type="dxa"/>
            </w:tcMar>
            <w:vAlign w:val="center"/>
          </w:tcPr>
          <w:p w14:paraId="4BEBE636">
            <w:pPr>
              <w:pageBreakBefore w:val="0"/>
              <w:kinsoku/>
              <w:overflowPunct/>
              <w:topLinePunct w:val="0"/>
              <w:bidi w:val="0"/>
              <w:spacing w:line="360" w:lineRule="auto"/>
              <w:outlineLvl w:val="9"/>
              <w:rPr>
                <w:rFonts w:hint="eastAsia" w:ascii="宋体" w:hAnsi="宋体" w:eastAsia="宋体" w:cs="宋体"/>
                <w:kern w:val="2"/>
                <w:sz w:val="24"/>
                <w:szCs w:val="24"/>
                <w:highlight w:val="none"/>
                <w:lang w:val="zh-TW" w:eastAsia="zh-TW" w:bidi="ar-SA"/>
              </w:rPr>
            </w:pPr>
            <w:r>
              <w:rPr>
                <w:rFonts w:hint="eastAsia" w:ascii="宋体" w:hAnsi="宋体" w:eastAsia="宋体" w:cs="宋体"/>
                <w:sz w:val="24"/>
                <w:szCs w:val="24"/>
                <w:highlight w:val="none"/>
                <w:lang w:val="en-US" w:eastAsia="zh-CN"/>
              </w:rPr>
              <w:t>风险防控管理措施齐全，风险预控符合规范要求，风险控制要点定位准确，各阶段风险控制及应急措施得力的得5分，基本符合的的3分，差的得1分，缺项不得分。</w:t>
            </w:r>
          </w:p>
        </w:tc>
      </w:tr>
      <w:tr w14:paraId="71C52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935" w:type="dxa"/>
            <w:vMerge w:val="restart"/>
            <w:tcMar>
              <w:left w:w="57" w:type="dxa"/>
              <w:right w:w="57" w:type="dxa"/>
            </w:tcMar>
            <w:vAlign w:val="center"/>
          </w:tcPr>
          <w:p w14:paraId="36E2AEC6">
            <w:pPr>
              <w:pStyle w:val="20"/>
              <w:pageBreakBefore w:val="0"/>
              <w:kinsoku/>
              <w:overflowPunct/>
              <w:topLinePunct w:val="0"/>
              <w:bidi w:val="0"/>
              <w:spacing w:before="0" w:beforeAutospacing="0" w:after="0" w:afterAutospacing="0" w:line="360" w:lineRule="auto"/>
              <w:jc w:val="center"/>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2.2.2</w:t>
            </w:r>
          </w:p>
          <w:p w14:paraId="4439AAE7">
            <w:pPr>
              <w:pStyle w:val="20"/>
              <w:pageBreakBefore w:val="0"/>
              <w:kinsoku/>
              <w:overflowPunct/>
              <w:topLinePunct w:val="0"/>
              <w:bidi w:val="0"/>
              <w:spacing w:before="0" w:beforeAutospacing="0" w:after="0" w:afterAutospacing="0" w:line="360" w:lineRule="auto"/>
              <w:jc w:val="center"/>
              <w:outlineLvl w:val="9"/>
              <w:rPr>
                <w:rFonts w:hint="default"/>
                <w:highlight w:val="none"/>
              </w:rPr>
            </w:pPr>
            <w:r>
              <w:rPr>
                <w:rFonts w:hint="eastAsia" w:ascii="宋体" w:hAnsi="宋体" w:eastAsia="宋体" w:cs="宋体"/>
                <w:highlight w:val="none"/>
                <w:lang w:val="en-US" w:eastAsia="zh-CN"/>
              </w:rPr>
              <w:t>(3)</w:t>
            </w:r>
          </w:p>
        </w:tc>
        <w:tc>
          <w:tcPr>
            <w:tcW w:w="1276" w:type="dxa"/>
            <w:vMerge w:val="restart"/>
            <w:tcMar>
              <w:left w:w="57" w:type="dxa"/>
              <w:right w:w="57" w:type="dxa"/>
            </w:tcMar>
            <w:vAlign w:val="center"/>
          </w:tcPr>
          <w:p w14:paraId="7993AD15">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综合标评分</w:t>
            </w:r>
          </w:p>
          <w:p w14:paraId="54B4E67E">
            <w:pPr>
              <w:pageBreakBefore w:val="0"/>
              <w:kinsoku/>
              <w:overflowPunct/>
              <w:topLinePunct w:val="0"/>
              <w:bidi w:val="0"/>
              <w:spacing w:line="360" w:lineRule="auto"/>
              <w:jc w:val="center"/>
              <w:outlineLvl w:val="9"/>
              <w:rPr>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25</w:t>
            </w:r>
            <w:r>
              <w:rPr>
                <w:rFonts w:hint="eastAsia" w:ascii="宋体" w:hAnsi="宋体" w:cs="宋体"/>
                <w:sz w:val="24"/>
                <w:szCs w:val="24"/>
                <w:highlight w:val="none"/>
              </w:rPr>
              <w:t>分）</w:t>
            </w:r>
          </w:p>
        </w:tc>
        <w:tc>
          <w:tcPr>
            <w:tcW w:w="1830" w:type="dxa"/>
            <w:tcMar>
              <w:left w:w="57" w:type="dxa"/>
              <w:right w:w="57" w:type="dxa"/>
            </w:tcMar>
            <w:vAlign w:val="center"/>
          </w:tcPr>
          <w:p w14:paraId="67F82777">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项目管理机构</w:t>
            </w:r>
          </w:p>
          <w:p w14:paraId="00E8DC30">
            <w:pPr>
              <w:pageBreakBefore w:val="0"/>
              <w:kinsoku/>
              <w:overflowPunct/>
              <w:topLinePunct w:val="0"/>
              <w:bidi w:val="0"/>
              <w:spacing w:line="360" w:lineRule="auto"/>
              <w:jc w:val="center"/>
              <w:outlineLvl w:val="9"/>
              <w:rPr>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5</w:t>
            </w:r>
            <w:r>
              <w:rPr>
                <w:rFonts w:hint="eastAsia" w:ascii="宋体" w:hAnsi="宋体" w:cs="宋体"/>
                <w:sz w:val="24"/>
                <w:szCs w:val="24"/>
                <w:highlight w:val="none"/>
              </w:rPr>
              <w:t>分）</w:t>
            </w:r>
          </w:p>
        </w:tc>
        <w:tc>
          <w:tcPr>
            <w:tcW w:w="5785" w:type="dxa"/>
            <w:tcMar>
              <w:left w:w="57" w:type="dxa"/>
              <w:right w:w="57" w:type="dxa"/>
            </w:tcMar>
            <w:vAlign w:val="center"/>
          </w:tcPr>
          <w:p w14:paraId="7B9CD565">
            <w:pPr>
              <w:keepNext w:val="0"/>
              <w:keepLines w:val="0"/>
              <w:widowControl/>
              <w:suppressLineNumbers w:val="0"/>
              <w:spacing w:line="360" w:lineRule="auto"/>
              <w:jc w:val="left"/>
              <w:rPr>
                <w:rFonts w:ascii="宋体" w:hAnsi="宋体" w:cs="宋体"/>
                <w:sz w:val="24"/>
                <w:szCs w:val="24"/>
                <w:highlight w:val="none"/>
              </w:rPr>
            </w:pPr>
            <w:r>
              <w:rPr>
                <w:rFonts w:hint="eastAsia" w:ascii="宋体" w:hAnsi="宋体" w:eastAsia="宋体" w:cs="宋体"/>
                <w:color w:val="000000"/>
                <w:kern w:val="0"/>
                <w:sz w:val="24"/>
                <w:szCs w:val="24"/>
                <w:highlight w:val="none"/>
                <w:lang w:val="en-US" w:eastAsia="zh-CN" w:bidi="ar"/>
              </w:rPr>
              <w:t>拟派项目管理人员（施工员，质检员或质量员，材料员，资料员，安全员）证件齐全的得 5 分，每缺一证扣 1 分，</w:t>
            </w:r>
            <w:r>
              <w:rPr>
                <w:rFonts w:hint="eastAsia" w:ascii="宋体" w:hAnsi="宋体" w:cs="宋体"/>
                <w:sz w:val="24"/>
                <w:szCs w:val="24"/>
                <w:highlight w:val="none"/>
              </w:rPr>
              <w:t>扣完为止。</w:t>
            </w:r>
          </w:p>
        </w:tc>
      </w:tr>
      <w:tr w14:paraId="5A35A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935" w:type="dxa"/>
            <w:vMerge w:val="continue"/>
            <w:tcMar>
              <w:left w:w="57" w:type="dxa"/>
              <w:right w:w="57" w:type="dxa"/>
            </w:tcMar>
            <w:vAlign w:val="center"/>
          </w:tcPr>
          <w:p w14:paraId="1F66E895">
            <w:pPr>
              <w:pStyle w:val="20"/>
              <w:pageBreakBefore w:val="0"/>
              <w:kinsoku/>
              <w:overflowPunct/>
              <w:topLinePunct w:val="0"/>
              <w:bidi w:val="0"/>
              <w:spacing w:before="0" w:beforeAutospacing="0" w:after="0" w:afterAutospacing="0" w:line="360" w:lineRule="auto"/>
              <w:jc w:val="center"/>
              <w:outlineLvl w:val="9"/>
              <w:rPr>
                <w:rFonts w:hint="eastAsia" w:ascii="宋体" w:hAnsi="宋体" w:eastAsia="宋体" w:cs="宋体"/>
                <w:highlight w:val="none"/>
                <w:lang w:val="en-US" w:eastAsia="zh-CN"/>
              </w:rPr>
            </w:pPr>
          </w:p>
        </w:tc>
        <w:tc>
          <w:tcPr>
            <w:tcW w:w="1276" w:type="dxa"/>
            <w:vMerge w:val="continue"/>
            <w:tcMar>
              <w:left w:w="57" w:type="dxa"/>
              <w:right w:w="57" w:type="dxa"/>
            </w:tcMar>
            <w:vAlign w:val="center"/>
          </w:tcPr>
          <w:p w14:paraId="7FB6608D">
            <w:pPr>
              <w:pageBreakBefore w:val="0"/>
              <w:kinsoku/>
              <w:overflowPunct/>
              <w:topLinePunct w:val="0"/>
              <w:bidi w:val="0"/>
              <w:spacing w:line="360" w:lineRule="auto"/>
              <w:jc w:val="center"/>
              <w:outlineLvl w:val="9"/>
              <w:rPr>
                <w:rFonts w:hint="eastAsia" w:ascii="宋体" w:hAnsi="宋体" w:cs="宋体"/>
                <w:sz w:val="24"/>
                <w:szCs w:val="24"/>
                <w:highlight w:val="none"/>
              </w:rPr>
            </w:pPr>
          </w:p>
        </w:tc>
        <w:tc>
          <w:tcPr>
            <w:tcW w:w="1830" w:type="dxa"/>
            <w:tcMar>
              <w:left w:w="57" w:type="dxa"/>
              <w:right w:w="57" w:type="dxa"/>
            </w:tcMar>
            <w:vAlign w:val="center"/>
          </w:tcPr>
          <w:p w14:paraId="2C15BBB5">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企业业绩</w:t>
            </w:r>
          </w:p>
          <w:p w14:paraId="140E00D9">
            <w:pPr>
              <w:pageBreakBefore w:val="0"/>
              <w:kinsoku/>
              <w:overflowPunct/>
              <w:topLinePunct w:val="0"/>
              <w:bidi w:val="0"/>
              <w:spacing w:line="360" w:lineRule="auto"/>
              <w:jc w:val="center"/>
              <w:outlineLvl w:val="9"/>
              <w:rPr>
                <w:rFonts w:hint="eastAsia" w:ascii="宋体" w:hAnsi="宋体"/>
                <w:sz w:val="24"/>
                <w:szCs w:val="24"/>
                <w:highlight w:val="none"/>
                <w:lang w:eastAsia="zh-CN"/>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6</w:t>
            </w:r>
            <w:r>
              <w:rPr>
                <w:rFonts w:ascii="宋体" w:hAnsi="宋体" w:cs="宋体"/>
                <w:sz w:val="24"/>
                <w:szCs w:val="24"/>
                <w:highlight w:val="none"/>
              </w:rPr>
              <w:t>分）</w:t>
            </w:r>
          </w:p>
        </w:tc>
        <w:tc>
          <w:tcPr>
            <w:tcW w:w="5785" w:type="dxa"/>
            <w:tcMar>
              <w:left w:w="57" w:type="dxa"/>
              <w:right w:w="57" w:type="dxa"/>
            </w:tcMar>
            <w:vAlign w:val="center"/>
          </w:tcPr>
          <w:p w14:paraId="2FFF60FA">
            <w:pPr>
              <w:pageBreakBefore w:val="0"/>
              <w:kinsoku/>
              <w:overflowPunct/>
              <w:topLinePunct w:val="0"/>
              <w:bidi w:val="0"/>
              <w:spacing w:line="360" w:lineRule="auto"/>
              <w:outlineLvl w:val="9"/>
              <w:rPr>
                <w:rFonts w:hint="eastAsia" w:ascii="宋体" w:hAnsi="宋体" w:eastAsia="宋体" w:cs="宋体"/>
                <w:color w:val="auto"/>
                <w:sz w:val="24"/>
                <w:szCs w:val="24"/>
                <w:highlight w:val="none"/>
                <w:lang w:eastAsia="zh-CN"/>
              </w:rPr>
            </w:pPr>
            <w:r>
              <w:rPr>
                <w:rFonts w:hint="eastAsia" w:ascii="宋体" w:hAnsi="宋体" w:cs="宋体"/>
                <w:sz w:val="24"/>
                <w:szCs w:val="24"/>
                <w:highlight w:val="none"/>
                <w:lang w:val="en-US" w:eastAsia="zh-CN"/>
              </w:rPr>
              <w:t>企业</w:t>
            </w:r>
            <w:r>
              <w:rPr>
                <w:rFonts w:hint="eastAsia" w:ascii="宋体" w:hAnsi="宋体" w:cs="宋体"/>
                <w:sz w:val="24"/>
                <w:szCs w:val="24"/>
                <w:highlight w:val="none"/>
              </w:rPr>
              <w:t>20</w:t>
            </w:r>
            <w:r>
              <w:rPr>
                <w:rFonts w:hint="eastAsia" w:ascii="宋体" w:hAnsi="宋体" w:cs="宋体"/>
                <w:sz w:val="24"/>
                <w:szCs w:val="24"/>
                <w:highlight w:val="none"/>
                <w:lang w:val="en-US" w:eastAsia="zh-CN"/>
              </w:rPr>
              <w:t>22</w:t>
            </w:r>
            <w:r>
              <w:rPr>
                <w:rFonts w:hint="eastAsia" w:ascii="宋体" w:hAnsi="宋体" w:cs="宋体"/>
                <w:sz w:val="24"/>
                <w:szCs w:val="24"/>
                <w:highlight w:val="none"/>
              </w:rPr>
              <w:t>年以来</w:t>
            </w:r>
            <w:r>
              <w:rPr>
                <w:rFonts w:hint="eastAsia" w:ascii="宋体" w:hAnsi="宋体" w:cs="宋体"/>
                <w:sz w:val="24"/>
                <w:szCs w:val="24"/>
                <w:highlight w:val="none"/>
                <w:lang w:val="en-US" w:eastAsia="zh-CN"/>
              </w:rPr>
              <w:t>具有</w:t>
            </w:r>
            <w:r>
              <w:rPr>
                <w:rFonts w:hint="eastAsia" w:ascii="宋体" w:hAnsi="宋体" w:cs="宋体"/>
                <w:sz w:val="24"/>
                <w:szCs w:val="24"/>
                <w:highlight w:val="none"/>
              </w:rPr>
              <w:t>类似项目业绩</w:t>
            </w:r>
            <w:r>
              <w:rPr>
                <w:rFonts w:hint="eastAsia" w:ascii="宋体" w:hAnsi="宋体" w:cs="宋体"/>
                <w:sz w:val="24"/>
                <w:szCs w:val="24"/>
                <w:highlight w:val="none"/>
                <w:lang w:val="en-US" w:eastAsia="zh-CN"/>
              </w:rPr>
              <w:t>的</w:t>
            </w:r>
            <w:r>
              <w:rPr>
                <w:rFonts w:hint="eastAsia" w:ascii="宋体" w:hAnsi="宋体" w:cs="宋体"/>
                <w:sz w:val="24"/>
                <w:szCs w:val="24"/>
                <w:highlight w:val="none"/>
              </w:rPr>
              <w:t>，每提供一份得</w:t>
            </w:r>
            <w:r>
              <w:rPr>
                <w:rFonts w:hint="eastAsia" w:ascii="宋体" w:hAnsi="宋体" w:cs="宋体"/>
                <w:sz w:val="24"/>
                <w:szCs w:val="24"/>
                <w:highlight w:val="none"/>
                <w:lang w:val="en-US" w:eastAsia="zh-CN"/>
              </w:rPr>
              <w:t>2</w:t>
            </w:r>
            <w:r>
              <w:rPr>
                <w:rFonts w:hint="eastAsia" w:ascii="宋体" w:hAnsi="宋体" w:cs="宋体"/>
                <w:sz w:val="24"/>
                <w:szCs w:val="24"/>
                <w:highlight w:val="none"/>
              </w:rPr>
              <w:t>分，满分</w:t>
            </w:r>
            <w:r>
              <w:rPr>
                <w:rFonts w:hint="eastAsia" w:ascii="宋体" w:hAnsi="宋体" w:cs="宋体"/>
                <w:sz w:val="24"/>
                <w:szCs w:val="24"/>
                <w:highlight w:val="none"/>
                <w:lang w:val="en-US" w:eastAsia="zh-CN"/>
              </w:rPr>
              <w:t>6</w:t>
            </w:r>
            <w:r>
              <w:rPr>
                <w:rFonts w:hint="eastAsia" w:ascii="宋体" w:hAnsi="宋体" w:cs="宋体"/>
                <w:sz w:val="24"/>
                <w:szCs w:val="24"/>
                <w:highlight w:val="none"/>
              </w:rPr>
              <w:t>分</w:t>
            </w:r>
            <w:r>
              <w:rPr>
                <w:rFonts w:hint="eastAsia" w:ascii="宋体" w:hAnsi="宋体" w:cs="宋体"/>
                <w:sz w:val="24"/>
                <w:szCs w:val="24"/>
                <w:highlight w:val="none"/>
                <w:lang w:eastAsia="zh-CN"/>
              </w:rPr>
              <w:t>。</w:t>
            </w:r>
            <w:r>
              <w:rPr>
                <w:rFonts w:hint="eastAsia" w:ascii="宋体" w:hAnsi="宋体" w:cs="宋体"/>
                <w:b/>
                <w:bCs/>
                <w:sz w:val="24"/>
                <w:szCs w:val="24"/>
                <w:highlight w:val="none"/>
                <w:lang w:eastAsia="zh-CN"/>
              </w:rPr>
              <w:t>（</w:t>
            </w:r>
            <w:r>
              <w:rPr>
                <w:rFonts w:hint="eastAsia" w:ascii="宋体" w:hAnsi="宋体" w:eastAsia="宋体" w:cs="宋体"/>
                <w:b/>
                <w:bCs/>
                <w:color w:val="000000"/>
                <w:sz w:val="24"/>
                <w:szCs w:val="24"/>
                <w:highlight w:val="none"/>
              </w:rPr>
              <w:t>以中标通知书或合同协议书签订日期为准，</w:t>
            </w:r>
            <w:r>
              <w:rPr>
                <w:rFonts w:hint="eastAsia" w:ascii="宋体" w:hAnsi="宋体" w:eastAsia="宋体" w:cs="宋体"/>
                <w:b/>
                <w:bCs/>
                <w:color w:val="000000"/>
                <w:sz w:val="24"/>
                <w:szCs w:val="24"/>
                <w:highlight w:val="none"/>
                <w:lang w:eastAsia="zh-CN"/>
              </w:rPr>
              <w:t>响应</w:t>
            </w:r>
            <w:r>
              <w:rPr>
                <w:rFonts w:hint="eastAsia" w:ascii="宋体" w:hAnsi="宋体" w:eastAsia="宋体" w:cs="宋体"/>
                <w:b/>
                <w:bCs/>
                <w:color w:val="000000"/>
                <w:sz w:val="24"/>
                <w:szCs w:val="24"/>
                <w:highlight w:val="none"/>
              </w:rPr>
              <w:t>文件中需附加盖公章的中标通知书或合同协议书的原件扫描件，否则不得分。</w:t>
            </w:r>
            <w:r>
              <w:rPr>
                <w:rFonts w:hint="eastAsia" w:ascii="宋体" w:hAnsi="宋体" w:eastAsia="宋体" w:cs="宋体"/>
                <w:b/>
                <w:bCs/>
                <w:color w:val="000000"/>
                <w:sz w:val="24"/>
                <w:szCs w:val="24"/>
                <w:highlight w:val="none"/>
                <w:lang w:val="en-US" w:eastAsia="zh-CN"/>
              </w:rPr>
              <w:t>企业业绩与项目经理业绩不累计计分。</w:t>
            </w:r>
            <w:r>
              <w:rPr>
                <w:rFonts w:hint="eastAsia" w:ascii="宋体" w:hAnsi="宋体" w:eastAsia="宋体" w:cs="宋体"/>
                <w:color w:val="000000"/>
                <w:sz w:val="24"/>
                <w:szCs w:val="24"/>
                <w:highlight w:val="none"/>
                <w:lang w:eastAsia="zh-CN"/>
              </w:rPr>
              <w:t>）</w:t>
            </w:r>
          </w:p>
        </w:tc>
      </w:tr>
      <w:tr w14:paraId="02361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935" w:type="dxa"/>
            <w:vMerge w:val="continue"/>
            <w:tcMar>
              <w:left w:w="57" w:type="dxa"/>
              <w:right w:w="57" w:type="dxa"/>
            </w:tcMar>
            <w:vAlign w:val="center"/>
          </w:tcPr>
          <w:p w14:paraId="5E3969B7">
            <w:pPr>
              <w:pStyle w:val="20"/>
              <w:pageBreakBefore w:val="0"/>
              <w:kinsoku/>
              <w:overflowPunct/>
              <w:topLinePunct w:val="0"/>
              <w:bidi w:val="0"/>
              <w:spacing w:before="0" w:beforeAutospacing="0" w:after="0" w:afterAutospacing="0" w:line="360" w:lineRule="auto"/>
              <w:jc w:val="center"/>
              <w:outlineLvl w:val="9"/>
              <w:rPr>
                <w:rFonts w:hint="eastAsia" w:ascii="宋体" w:hAnsi="宋体" w:eastAsia="宋体" w:cs="宋体"/>
                <w:highlight w:val="none"/>
                <w:lang w:val="en-US" w:eastAsia="zh-CN"/>
              </w:rPr>
            </w:pPr>
          </w:p>
        </w:tc>
        <w:tc>
          <w:tcPr>
            <w:tcW w:w="1276" w:type="dxa"/>
            <w:vMerge w:val="continue"/>
            <w:tcMar>
              <w:left w:w="57" w:type="dxa"/>
              <w:right w:w="57" w:type="dxa"/>
            </w:tcMar>
            <w:vAlign w:val="center"/>
          </w:tcPr>
          <w:p w14:paraId="71844D6A">
            <w:pPr>
              <w:pageBreakBefore w:val="0"/>
              <w:kinsoku/>
              <w:overflowPunct/>
              <w:topLinePunct w:val="0"/>
              <w:bidi w:val="0"/>
              <w:spacing w:line="360" w:lineRule="auto"/>
              <w:jc w:val="center"/>
              <w:outlineLvl w:val="9"/>
              <w:rPr>
                <w:rFonts w:hint="eastAsia" w:ascii="宋体" w:hAnsi="宋体" w:cs="宋体"/>
                <w:sz w:val="24"/>
                <w:szCs w:val="24"/>
                <w:highlight w:val="none"/>
              </w:rPr>
            </w:pPr>
          </w:p>
        </w:tc>
        <w:tc>
          <w:tcPr>
            <w:tcW w:w="1830" w:type="dxa"/>
            <w:tcMar>
              <w:left w:w="57" w:type="dxa"/>
              <w:right w:w="57" w:type="dxa"/>
            </w:tcMar>
            <w:vAlign w:val="center"/>
          </w:tcPr>
          <w:p w14:paraId="5CFC2B73">
            <w:pPr>
              <w:pageBreakBefore w:val="0"/>
              <w:kinsoku/>
              <w:overflowPunct/>
              <w:topLinePunct w:val="0"/>
              <w:bidi w:val="0"/>
              <w:spacing w:line="360" w:lineRule="auto"/>
              <w:jc w:val="center"/>
              <w:outlineLvl w:val="9"/>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项目经理业绩</w:t>
            </w:r>
          </w:p>
          <w:p w14:paraId="0EA18836">
            <w:pPr>
              <w:pageBreakBefore w:val="0"/>
              <w:kinsoku/>
              <w:overflowPunct/>
              <w:topLinePunct w:val="0"/>
              <w:bidi w:val="0"/>
              <w:spacing w:line="360" w:lineRule="auto"/>
              <w:jc w:val="center"/>
              <w:outlineLvl w:val="9"/>
              <w:rPr>
                <w:rFonts w:hint="eastAsia" w:ascii="宋体" w:hAnsi="宋体"/>
                <w:sz w:val="24"/>
                <w:szCs w:val="24"/>
                <w:highlight w:val="none"/>
                <w:lang w:eastAsia="zh-CN"/>
              </w:rPr>
            </w:pPr>
            <w:r>
              <w:rPr>
                <w:rFonts w:hint="eastAsia" w:ascii="宋体" w:hAnsi="宋体" w:cs="宋体"/>
                <w:sz w:val="24"/>
                <w:szCs w:val="24"/>
                <w:highlight w:val="none"/>
                <w:lang w:val="en-US" w:eastAsia="zh-CN"/>
              </w:rPr>
              <w:t>（3分）</w:t>
            </w:r>
          </w:p>
        </w:tc>
        <w:tc>
          <w:tcPr>
            <w:tcW w:w="5785" w:type="dxa"/>
            <w:tcMar>
              <w:left w:w="57" w:type="dxa"/>
              <w:right w:w="57" w:type="dxa"/>
            </w:tcMar>
            <w:vAlign w:val="center"/>
          </w:tcPr>
          <w:p w14:paraId="58339E68">
            <w:pPr>
              <w:pageBreakBefore w:val="0"/>
              <w:kinsoku/>
              <w:overflowPunct/>
              <w:topLinePunct w:val="0"/>
              <w:bidi w:val="0"/>
              <w:spacing w:line="360" w:lineRule="auto"/>
              <w:outlineLvl w:val="9"/>
              <w:rPr>
                <w:rFonts w:hint="eastAsia" w:ascii="宋体" w:hAnsi="宋体" w:eastAsia="宋体" w:cs="宋体"/>
                <w:color w:val="auto"/>
                <w:sz w:val="24"/>
                <w:szCs w:val="24"/>
                <w:highlight w:val="none"/>
                <w:lang w:eastAsia="zh-CN"/>
              </w:rPr>
            </w:pPr>
            <w:r>
              <w:rPr>
                <w:rFonts w:hint="eastAsia" w:ascii="宋体" w:hAnsi="宋体" w:cs="宋体"/>
                <w:sz w:val="24"/>
                <w:szCs w:val="24"/>
                <w:highlight w:val="none"/>
                <w:lang w:val="en-US" w:eastAsia="zh-CN"/>
              </w:rPr>
              <w:t>项目经理</w:t>
            </w:r>
            <w:r>
              <w:rPr>
                <w:rFonts w:hint="eastAsia" w:ascii="宋体" w:hAnsi="宋体" w:cs="宋体"/>
                <w:sz w:val="24"/>
                <w:szCs w:val="24"/>
                <w:highlight w:val="none"/>
              </w:rPr>
              <w:t>20</w:t>
            </w:r>
            <w:r>
              <w:rPr>
                <w:rFonts w:hint="eastAsia" w:ascii="宋体" w:hAnsi="宋体" w:cs="宋体"/>
                <w:sz w:val="24"/>
                <w:szCs w:val="24"/>
                <w:highlight w:val="none"/>
                <w:lang w:val="en-US" w:eastAsia="zh-CN"/>
              </w:rPr>
              <w:t>22</w:t>
            </w:r>
            <w:r>
              <w:rPr>
                <w:rFonts w:hint="eastAsia" w:ascii="宋体" w:hAnsi="宋体" w:cs="宋体"/>
                <w:sz w:val="24"/>
                <w:szCs w:val="24"/>
                <w:highlight w:val="none"/>
              </w:rPr>
              <w:t>年以来</w:t>
            </w:r>
            <w:r>
              <w:rPr>
                <w:rFonts w:hint="eastAsia" w:ascii="宋体" w:hAnsi="宋体" w:cs="宋体"/>
                <w:sz w:val="24"/>
                <w:szCs w:val="24"/>
                <w:highlight w:val="none"/>
                <w:lang w:val="en-US" w:eastAsia="zh-CN"/>
              </w:rPr>
              <w:t>具有</w:t>
            </w:r>
            <w:r>
              <w:rPr>
                <w:rFonts w:hint="eastAsia" w:ascii="宋体" w:hAnsi="宋体" w:cs="宋体"/>
                <w:sz w:val="24"/>
                <w:szCs w:val="24"/>
                <w:highlight w:val="none"/>
              </w:rPr>
              <w:t>类似项目业绩</w:t>
            </w:r>
            <w:r>
              <w:rPr>
                <w:rFonts w:hint="eastAsia" w:ascii="宋体" w:hAnsi="宋体" w:cs="宋体"/>
                <w:sz w:val="24"/>
                <w:szCs w:val="24"/>
                <w:highlight w:val="none"/>
                <w:lang w:val="en-US" w:eastAsia="zh-CN"/>
              </w:rPr>
              <w:t>的</w:t>
            </w:r>
            <w:r>
              <w:rPr>
                <w:rFonts w:hint="eastAsia" w:ascii="宋体" w:hAnsi="宋体" w:cs="宋体"/>
                <w:sz w:val="24"/>
                <w:szCs w:val="24"/>
                <w:highlight w:val="none"/>
              </w:rPr>
              <w:t>，每提供一份得</w:t>
            </w:r>
            <w:r>
              <w:rPr>
                <w:rFonts w:hint="eastAsia" w:ascii="宋体" w:hAnsi="宋体" w:cs="宋体"/>
                <w:sz w:val="24"/>
                <w:szCs w:val="24"/>
                <w:highlight w:val="none"/>
                <w:lang w:val="en-US" w:eastAsia="zh-CN"/>
              </w:rPr>
              <w:t>1.5</w:t>
            </w:r>
            <w:r>
              <w:rPr>
                <w:rFonts w:hint="eastAsia" w:ascii="宋体" w:hAnsi="宋体" w:cs="宋体"/>
                <w:sz w:val="24"/>
                <w:szCs w:val="24"/>
                <w:highlight w:val="none"/>
              </w:rPr>
              <w:t>分，满分</w:t>
            </w:r>
            <w:r>
              <w:rPr>
                <w:rFonts w:hint="eastAsia" w:ascii="宋体" w:hAnsi="宋体" w:cs="宋体"/>
                <w:sz w:val="24"/>
                <w:szCs w:val="24"/>
                <w:highlight w:val="none"/>
                <w:lang w:val="en-US" w:eastAsia="zh-CN"/>
              </w:rPr>
              <w:t>3</w:t>
            </w:r>
            <w:r>
              <w:rPr>
                <w:rFonts w:hint="eastAsia" w:ascii="宋体" w:hAnsi="宋体" w:cs="宋体"/>
                <w:sz w:val="24"/>
                <w:szCs w:val="24"/>
                <w:highlight w:val="none"/>
              </w:rPr>
              <w:t>分</w:t>
            </w:r>
            <w:r>
              <w:rPr>
                <w:rFonts w:hint="eastAsia" w:ascii="宋体" w:hAnsi="宋体" w:cs="宋体"/>
                <w:sz w:val="24"/>
                <w:szCs w:val="24"/>
                <w:highlight w:val="none"/>
                <w:lang w:eastAsia="zh-CN"/>
              </w:rPr>
              <w:t>。</w:t>
            </w:r>
            <w:r>
              <w:rPr>
                <w:rFonts w:hint="eastAsia" w:ascii="宋体" w:hAnsi="宋体" w:cs="宋体"/>
                <w:b/>
                <w:bCs/>
                <w:sz w:val="24"/>
                <w:szCs w:val="24"/>
                <w:highlight w:val="none"/>
                <w:lang w:eastAsia="zh-CN"/>
              </w:rPr>
              <w:t>（</w:t>
            </w:r>
            <w:r>
              <w:rPr>
                <w:rFonts w:hint="eastAsia" w:ascii="宋体" w:hAnsi="宋体" w:eastAsia="宋体" w:cs="宋体"/>
                <w:b/>
                <w:bCs/>
                <w:color w:val="000000"/>
                <w:sz w:val="24"/>
                <w:szCs w:val="24"/>
                <w:highlight w:val="none"/>
              </w:rPr>
              <w:t>以中标通知书或合同协议书签订日期为准，</w:t>
            </w:r>
            <w:r>
              <w:rPr>
                <w:rFonts w:hint="eastAsia" w:ascii="宋体" w:hAnsi="宋体" w:eastAsia="宋体" w:cs="宋体"/>
                <w:b/>
                <w:bCs/>
                <w:color w:val="000000"/>
                <w:sz w:val="24"/>
                <w:szCs w:val="24"/>
                <w:highlight w:val="none"/>
                <w:lang w:eastAsia="zh-CN"/>
              </w:rPr>
              <w:t>响应</w:t>
            </w:r>
            <w:r>
              <w:rPr>
                <w:rFonts w:hint="eastAsia" w:ascii="宋体" w:hAnsi="宋体" w:eastAsia="宋体" w:cs="宋体"/>
                <w:b/>
                <w:bCs/>
                <w:color w:val="000000"/>
                <w:sz w:val="24"/>
                <w:szCs w:val="24"/>
                <w:highlight w:val="none"/>
              </w:rPr>
              <w:t>文件中需附加盖公章的中标通知书或合同协议书的原件扫描件，否则不得分。</w:t>
            </w:r>
            <w:r>
              <w:rPr>
                <w:rFonts w:hint="eastAsia" w:ascii="宋体" w:hAnsi="宋体" w:eastAsia="宋体" w:cs="宋体"/>
                <w:b/>
                <w:bCs/>
                <w:color w:val="000000"/>
                <w:sz w:val="24"/>
                <w:szCs w:val="24"/>
                <w:highlight w:val="none"/>
                <w:lang w:val="en-US" w:eastAsia="zh-CN"/>
              </w:rPr>
              <w:t>企业业绩与项目经理业绩不累计计分。</w:t>
            </w:r>
            <w:r>
              <w:rPr>
                <w:rFonts w:hint="eastAsia" w:ascii="宋体" w:hAnsi="宋体" w:eastAsia="宋体" w:cs="宋体"/>
                <w:color w:val="000000"/>
                <w:sz w:val="24"/>
                <w:szCs w:val="24"/>
                <w:highlight w:val="none"/>
                <w:lang w:eastAsia="zh-CN"/>
              </w:rPr>
              <w:t>）</w:t>
            </w:r>
          </w:p>
        </w:tc>
      </w:tr>
      <w:tr w14:paraId="70BE4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35" w:type="dxa"/>
            <w:vMerge w:val="continue"/>
            <w:tcMar>
              <w:left w:w="57" w:type="dxa"/>
              <w:right w:w="57" w:type="dxa"/>
            </w:tcMar>
            <w:vAlign w:val="center"/>
          </w:tcPr>
          <w:p w14:paraId="70063139">
            <w:pPr>
              <w:pStyle w:val="20"/>
              <w:pageBreakBefore w:val="0"/>
              <w:kinsoku/>
              <w:overflowPunct/>
              <w:topLinePunct w:val="0"/>
              <w:bidi w:val="0"/>
              <w:spacing w:before="0" w:beforeAutospacing="0" w:after="0" w:afterAutospacing="0" w:line="360" w:lineRule="auto"/>
              <w:jc w:val="center"/>
              <w:outlineLvl w:val="9"/>
              <w:rPr>
                <w:rFonts w:hint="eastAsia" w:ascii="宋体" w:hAnsi="宋体" w:eastAsia="宋体" w:cs="宋体"/>
                <w:highlight w:val="none"/>
                <w:lang w:val="en-US" w:eastAsia="zh-CN"/>
              </w:rPr>
            </w:pPr>
          </w:p>
        </w:tc>
        <w:tc>
          <w:tcPr>
            <w:tcW w:w="1276" w:type="dxa"/>
            <w:vMerge w:val="continue"/>
            <w:tcMar>
              <w:left w:w="57" w:type="dxa"/>
              <w:right w:w="57" w:type="dxa"/>
            </w:tcMar>
            <w:vAlign w:val="center"/>
          </w:tcPr>
          <w:p w14:paraId="53907D5A">
            <w:pPr>
              <w:pageBreakBefore w:val="0"/>
              <w:kinsoku/>
              <w:overflowPunct/>
              <w:topLinePunct w:val="0"/>
              <w:bidi w:val="0"/>
              <w:spacing w:line="360" w:lineRule="auto"/>
              <w:jc w:val="center"/>
              <w:outlineLvl w:val="9"/>
              <w:rPr>
                <w:rFonts w:hint="eastAsia" w:ascii="宋体" w:hAnsi="宋体" w:cs="宋体"/>
                <w:sz w:val="24"/>
                <w:szCs w:val="24"/>
                <w:highlight w:val="none"/>
              </w:rPr>
            </w:pPr>
          </w:p>
        </w:tc>
        <w:tc>
          <w:tcPr>
            <w:tcW w:w="1830" w:type="dxa"/>
            <w:tcMar>
              <w:left w:w="57" w:type="dxa"/>
              <w:right w:w="57" w:type="dxa"/>
            </w:tcMar>
            <w:vAlign w:val="center"/>
          </w:tcPr>
          <w:p w14:paraId="5A7BC852">
            <w:pPr>
              <w:pageBreakBefore w:val="0"/>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履职尽责承诺</w:t>
            </w:r>
          </w:p>
          <w:p w14:paraId="6186D29A">
            <w:pPr>
              <w:pageBreakBefore w:val="0"/>
              <w:kinsoku/>
              <w:overflowPunct/>
              <w:topLinePunct w:val="0"/>
              <w:bidi w:val="0"/>
              <w:spacing w:line="360" w:lineRule="auto"/>
              <w:jc w:val="center"/>
              <w:outlineLvl w:val="9"/>
              <w:rPr>
                <w:rFonts w:hint="eastAsia" w:ascii="宋体" w:hAnsi="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c>
          <w:tcPr>
            <w:tcW w:w="5785" w:type="dxa"/>
            <w:tcMar>
              <w:left w:w="57" w:type="dxa"/>
              <w:right w:w="57" w:type="dxa"/>
            </w:tcMar>
            <w:vAlign w:val="center"/>
          </w:tcPr>
          <w:p w14:paraId="6C13E900">
            <w:pPr>
              <w:pageBreakBefore w:val="0"/>
              <w:kinsoku/>
              <w:overflowPunct/>
              <w:topLinePunct w:val="0"/>
              <w:bidi w:val="0"/>
              <w:spacing w:line="360" w:lineRule="auto"/>
              <w:outlineLvl w:val="9"/>
              <w:rPr>
                <w:rFonts w:hint="eastAsia" w:ascii="宋体" w:hAnsi="宋体" w:eastAsia="宋体" w:cs="宋体"/>
                <w:color w:val="auto"/>
                <w:sz w:val="24"/>
                <w:szCs w:val="24"/>
                <w:highlight w:val="none"/>
                <w:lang w:eastAsia="zh-CN"/>
              </w:rPr>
            </w:pPr>
            <w:r>
              <w:rPr>
                <w:rFonts w:hint="default" w:ascii="宋体" w:hAnsi="宋体" w:cs="宋体"/>
                <w:sz w:val="24"/>
                <w:szCs w:val="24"/>
                <w:highlight w:val="none"/>
                <w:lang w:val="en-US" w:eastAsia="zh-CN"/>
              </w:rPr>
              <w:t>具有可行、合法有效的书面保证技术措施落实到位的承诺和落实不到位的处理承诺，其中包括各关键岗位人员（项目经理、技术负责人及相关技术人员、质量员、安全员、材料员、施工员等）的在岗、更换等履职尽责承诺，提供承包商履约保证。详实可行的得</w:t>
            </w:r>
            <w:r>
              <w:rPr>
                <w:rFonts w:hint="eastAsia" w:ascii="宋体" w:hAnsi="宋体" w:cs="宋体"/>
                <w:sz w:val="24"/>
                <w:szCs w:val="24"/>
                <w:highlight w:val="none"/>
                <w:lang w:val="en-US" w:eastAsia="zh-CN"/>
              </w:rPr>
              <w:t>6</w:t>
            </w:r>
            <w:r>
              <w:rPr>
                <w:rFonts w:hint="default" w:ascii="宋体" w:hAnsi="宋体" w:cs="宋体"/>
                <w:sz w:val="24"/>
                <w:szCs w:val="24"/>
                <w:highlight w:val="none"/>
                <w:lang w:val="en-US" w:eastAsia="zh-CN"/>
              </w:rPr>
              <w:t>分；基本可行的得3分；一般的得1分，缺项不得分。</w:t>
            </w:r>
          </w:p>
        </w:tc>
      </w:tr>
      <w:tr w14:paraId="2284F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935" w:type="dxa"/>
            <w:vMerge w:val="continue"/>
            <w:tcMar>
              <w:left w:w="57" w:type="dxa"/>
              <w:right w:w="57" w:type="dxa"/>
            </w:tcMar>
            <w:vAlign w:val="center"/>
          </w:tcPr>
          <w:p w14:paraId="0F75D955">
            <w:pPr>
              <w:pStyle w:val="20"/>
              <w:pageBreakBefore w:val="0"/>
              <w:kinsoku/>
              <w:overflowPunct/>
              <w:topLinePunct w:val="0"/>
              <w:bidi w:val="0"/>
              <w:spacing w:before="0" w:beforeAutospacing="0" w:after="0" w:afterAutospacing="0" w:line="360" w:lineRule="auto"/>
              <w:jc w:val="center"/>
              <w:outlineLvl w:val="9"/>
              <w:rPr>
                <w:rFonts w:hint="eastAsia" w:ascii="宋体" w:hAnsi="宋体" w:eastAsia="宋体" w:cs="宋体"/>
                <w:highlight w:val="none"/>
                <w:lang w:val="en-US" w:eastAsia="zh-CN"/>
              </w:rPr>
            </w:pPr>
          </w:p>
        </w:tc>
        <w:tc>
          <w:tcPr>
            <w:tcW w:w="1276" w:type="dxa"/>
            <w:vMerge w:val="continue"/>
            <w:tcMar>
              <w:left w:w="57" w:type="dxa"/>
              <w:right w:w="57" w:type="dxa"/>
            </w:tcMar>
            <w:vAlign w:val="center"/>
          </w:tcPr>
          <w:p w14:paraId="46EEFDE3">
            <w:pPr>
              <w:pageBreakBefore w:val="0"/>
              <w:kinsoku/>
              <w:overflowPunct/>
              <w:topLinePunct w:val="0"/>
              <w:bidi w:val="0"/>
              <w:spacing w:line="360" w:lineRule="auto"/>
              <w:jc w:val="center"/>
              <w:outlineLvl w:val="9"/>
              <w:rPr>
                <w:rFonts w:hint="eastAsia" w:ascii="宋体" w:hAnsi="宋体" w:cs="宋体"/>
                <w:sz w:val="24"/>
                <w:szCs w:val="24"/>
                <w:highlight w:val="none"/>
              </w:rPr>
            </w:pPr>
          </w:p>
        </w:tc>
        <w:tc>
          <w:tcPr>
            <w:tcW w:w="1830" w:type="dxa"/>
            <w:tcMar>
              <w:left w:w="57" w:type="dxa"/>
              <w:right w:w="57" w:type="dxa"/>
            </w:tcMar>
            <w:vAlign w:val="center"/>
          </w:tcPr>
          <w:p w14:paraId="09938CA7">
            <w:pPr>
              <w:keepNext w:val="0"/>
              <w:keepLines w:val="0"/>
              <w:widowControl/>
              <w:suppressLineNumbers w:val="0"/>
              <w:spacing w:line="360" w:lineRule="auto"/>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优惠承诺</w:t>
            </w:r>
          </w:p>
          <w:p w14:paraId="00FF36C7">
            <w:pPr>
              <w:keepNext w:val="0"/>
              <w:keepLines w:val="0"/>
              <w:widowControl/>
              <w:suppressLineNumbers w:val="0"/>
              <w:spacing w:line="360" w:lineRule="auto"/>
              <w:jc w:val="center"/>
              <w:rPr>
                <w:rFonts w:hint="eastAsia" w:ascii="宋体" w:hAnsi="宋体"/>
                <w:sz w:val="24"/>
                <w:szCs w:val="24"/>
                <w:highlight w:val="none"/>
                <w:lang w:eastAsia="zh-CN"/>
              </w:rPr>
            </w:pPr>
            <w:r>
              <w:rPr>
                <w:rFonts w:hint="eastAsia" w:ascii="宋体" w:hAnsi="宋体" w:eastAsia="宋体" w:cs="宋体"/>
                <w:color w:val="000000"/>
                <w:kern w:val="0"/>
                <w:sz w:val="24"/>
                <w:szCs w:val="24"/>
                <w:highlight w:val="none"/>
                <w:lang w:val="en-US" w:eastAsia="zh-CN" w:bidi="ar"/>
              </w:rPr>
              <w:t>（5分）</w:t>
            </w:r>
          </w:p>
        </w:tc>
        <w:tc>
          <w:tcPr>
            <w:tcW w:w="5785" w:type="dxa"/>
            <w:tcMar>
              <w:left w:w="57" w:type="dxa"/>
              <w:right w:w="57" w:type="dxa"/>
            </w:tcMar>
            <w:vAlign w:val="center"/>
          </w:tcPr>
          <w:p w14:paraId="0F0D65B7">
            <w:pPr>
              <w:keepNext w:val="0"/>
              <w:keepLines w:val="0"/>
              <w:widowControl/>
              <w:suppressLineNumbers w:val="0"/>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rPr>
              <w:t>优惠承诺符合工程实际情况，确保依法依规，优惠合理，详实可行</w:t>
            </w:r>
            <w:r>
              <w:rPr>
                <w:rFonts w:hint="eastAsia" w:ascii="宋体" w:hAnsi="宋体" w:eastAsia="宋体" w:cs="宋体"/>
                <w:sz w:val="24"/>
                <w:szCs w:val="24"/>
                <w:highlight w:val="none"/>
                <w:lang w:eastAsia="zh-CN"/>
              </w:rPr>
              <w:t>得</w:t>
            </w:r>
            <w:r>
              <w:rPr>
                <w:rFonts w:hint="eastAsia" w:ascii="宋体" w:hAnsi="宋体" w:eastAsia="宋体" w:cs="宋体"/>
                <w:sz w:val="24"/>
                <w:szCs w:val="24"/>
                <w:highlight w:val="none"/>
                <w:lang w:val="en-US" w:eastAsia="zh-CN"/>
              </w:rPr>
              <w:t>5分；</w:t>
            </w:r>
            <w:r>
              <w:rPr>
                <w:rFonts w:hint="eastAsia" w:ascii="宋体" w:hAnsi="宋体" w:eastAsia="宋体" w:cs="宋体"/>
                <w:sz w:val="24"/>
                <w:szCs w:val="24"/>
                <w:highlight w:val="none"/>
              </w:rPr>
              <w:t>优惠</w:t>
            </w:r>
            <w:r>
              <w:rPr>
                <w:rFonts w:hint="eastAsia" w:ascii="宋体" w:hAnsi="宋体" w:eastAsia="宋体" w:cs="宋体"/>
                <w:sz w:val="24"/>
                <w:szCs w:val="24"/>
                <w:highlight w:val="none"/>
                <w:lang w:eastAsia="zh-CN"/>
              </w:rPr>
              <w:t>基本</w:t>
            </w:r>
            <w:r>
              <w:rPr>
                <w:rFonts w:hint="eastAsia" w:ascii="宋体" w:hAnsi="宋体" w:eastAsia="宋体" w:cs="宋体"/>
                <w:sz w:val="24"/>
                <w:szCs w:val="24"/>
                <w:highlight w:val="none"/>
              </w:rPr>
              <w:t>合理，</w:t>
            </w:r>
            <w:r>
              <w:rPr>
                <w:rFonts w:hint="eastAsia" w:ascii="宋体" w:hAnsi="宋体" w:eastAsia="宋体" w:cs="宋体"/>
                <w:sz w:val="24"/>
                <w:szCs w:val="24"/>
                <w:highlight w:val="none"/>
                <w:lang w:eastAsia="zh-CN"/>
              </w:rPr>
              <w:t>基本</w:t>
            </w:r>
            <w:r>
              <w:rPr>
                <w:rFonts w:hint="eastAsia" w:ascii="宋体" w:hAnsi="宋体" w:eastAsia="宋体" w:cs="宋体"/>
                <w:sz w:val="24"/>
                <w:szCs w:val="24"/>
                <w:highlight w:val="none"/>
              </w:rPr>
              <w:t>详实可行</w:t>
            </w:r>
            <w:r>
              <w:rPr>
                <w:rFonts w:hint="eastAsia" w:ascii="宋体" w:hAnsi="宋体" w:eastAsia="宋体" w:cs="宋体"/>
                <w:sz w:val="24"/>
                <w:szCs w:val="24"/>
                <w:highlight w:val="none"/>
                <w:lang w:eastAsia="zh-CN"/>
              </w:rPr>
              <w:t>得</w:t>
            </w:r>
            <w:r>
              <w:rPr>
                <w:rFonts w:hint="eastAsia" w:ascii="宋体" w:hAnsi="宋体" w:eastAsia="宋体" w:cs="宋体"/>
                <w:sz w:val="24"/>
                <w:szCs w:val="24"/>
                <w:highlight w:val="none"/>
                <w:lang w:val="en-US" w:eastAsia="zh-CN"/>
              </w:rPr>
              <w:t>3分；一般得1分，缺项不得分。</w:t>
            </w:r>
          </w:p>
        </w:tc>
      </w:tr>
    </w:tbl>
    <w:p w14:paraId="42806EA8">
      <w:pPr>
        <w:pageBreakBefore w:val="0"/>
        <w:kinsoku/>
        <w:overflowPunct/>
        <w:topLinePunct w:val="0"/>
        <w:bidi w:val="0"/>
        <w:spacing w:line="400" w:lineRule="exact"/>
        <w:ind w:firstLine="482" w:firstLineChars="200"/>
        <w:outlineLvl w:val="9"/>
        <w:rPr>
          <w:rFonts w:hint="eastAsia" w:ascii="宋体" w:hAnsi="宋体" w:eastAsia="宋体" w:cs="宋体"/>
          <w:b/>
          <w:sz w:val="24"/>
          <w:szCs w:val="24"/>
          <w:highlight w:val="none"/>
        </w:rPr>
      </w:pPr>
    </w:p>
    <w:p w14:paraId="0CF4E2E7">
      <w:pPr>
        <w:pageBreakBefore w:val="0"/>
        <w:kinsoku/>
        <w:overflowPunct/>
        <w:topLinePunct w:val="0"/>
        <w:bidi w:val="0"/>
        <w:spacing w:line="400" w:lineRule="exact"/>
        <w:ind w:firstLine="482" w:firstLineChars="200"/>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1.评标方法</w:t>
      </w:r>
    </w:p>
    <w:p w14:paraId="15CB415A">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本次评标采用综合评</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rPr>
        <w:t>法。磋商小组对满足磋商文件实质性要求的响应性文件，按照本章规定的评分标准进行打分，并按得分由高到低顺序</w:t>
      </w:r>
      <w:r>
        <w:rPr>
          <w:rFonts w:hint="eastAsia" w:ascii="宋体" w:hAnsi="宋体" w:eastAsia="宋体" w:cs="宋体"/>
          <w:sz w:val="24"/>
          <w:szCs w:val="24"/>
          <w:highlight w:val="none"/>
          <w:lang w:eastAsia="zh-CN"/>
        </w:rPr>
        <w:t>就</w:t>
      </w:r>
      <w:r>
        <w:rPr>
          <w:rFonts w:hint="eastAsia" w:ascii="宋体" w:hAnsi="宋体" w:eastAsia="宋体" w:cs="宋体"/>
          <w:sz w:val="24"/>
          <w:szCs w:val="24"/>
          <w:highlight w:val="none"/>
          <w:lang w:val="en-US" w:eastAsia="zh-CN"/>
        </w:rPr>
        <w:t>3个标段分别</w:t>
      </w:r>
      <w:r>
        <w:rPr>
          <w:rFonts w:hint="eastAsia" w:ascii="宋体" w:hAnsi="宋体" w:eastAsia="宋体" w:cs="宋体"/>
          <w:sz w:val="24"/>
          <w:szCs w:val="24"/>
          <w:highlight w:val="none"/>
        </w:rPr>
        <w:t>推荐</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名成交候选人。</w:t>
      </w:r>
    </w:p>
    <w:p w14:paraId="5062BF16">
      <w:pPr>
        <w:pageBreakBefore w:val="0"/>
        <w:kinsoku/>
        <w:overflowPunct/>
        <w:topLinePunct w:val="0"/>
        <w:bidi w:val="0"/>
        <w:spacing w:line="360" w:lineRule="auto"/>
        <w:ind w:firstLine="482" w:firstLineChars="200"/>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2.评审标准</w:t>
      </w:r>
    </w:p>
    <w:p w14:paraId="09E9078F">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2.1 初步评审标准</w:t>
      </w:r>
    </w:p>
    <w:p w14:paraId="4878EDDC">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2.1.1</w:t>
      </w:r>
      <w:r>
        <w:rPr>
          <w:rFonts w:hint="eastAsia" w:ascii="宋体" w:hAnsi="宋体" w:eastAsia="宋体" w:cs="宋体"/>
          <w:sz w:val="24"/>
          <w:szCs w:val="24"/>
          <w:highlight w:val="none"/>
          <w:lang w:eastAsia="zh-CN"/>
        </w:rPr>
        <w:t>形式</w:t>
      </w:r>
      <w:r>
        <w:rPr>
          <w:rFonts w:hint="eastAsia" w:ascii="宋体" w:hAnsi="宋体" w:eastAsia="宋体" w:cs="宋体"/>
          <w:sz w:val="24"/>
          <w:szCs w:val="24"/>
          <w:highlight w:val="none"/>
        </w:rPr>
        <w:t>评审标准：见评标办法前附表。</w:t>
      </w:r>
    </w:p>
    <w:p w14:paraId="215C97E5">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2.1.2 资格评审标准：见评标办法前附表。</w:t>
      </w:r>
    </w:p>
    <w:p w14:paraId="203DEA1C">
      <w:pPr>
        <w:pageBreakBefore w:val="0"/>
        <w:kinsoku/>
        <w:overflowPunct/>
        <w:topLinePunct w:val="0"/>
        <w:bidi w:val="0"/>
        <w:spacing w:line="360" w:lineRule="auto"/>
        <w:ind w:firstLine="476" w:firstLineChars="200"/>
        <w:outlineLvl w:val="9"/>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2.1.3 响应评审标准：见评标办法前附表。</w:t>
      </w:r>
    </w:p>
    <w:p w14:paraId="51900B95">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2.2 评分标准</w:t>
      </w:r>
    </w:p>
    <w:p w14:paraId="18CD03CE">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2.2.1</w:t>
      </w:r>
      <w:r>
        <w:rPr>
          <w:rFonts w:hint="eastAsia" w:ascii="宋体" w:hAnsi="宋体" w:eastAsia="宋体" w:cs="宋体"/>
          <w:sz w:val="24"/>
          <w:szCs w:val="24"/>
          <w:highlight w:val="none"/>
          <w:lang w:val="en-US" w:eastAsia="zh-CN"/>
        </w:rPr>
        <w:t>磋商报价</w:t>
      </w:r>
      <w:r>
        <w:rPr>
          <w:rFonts w:hint="eastAsia" w:ascii="宋体" w:hAnsi="宋体" w:eastAsia="宋体" w:cs="宋体"/>
          <w:sz w:val="24"/>
          <w:szCs w:val="24"/>
          <w:highlight w:val="none"/>
        </w:rPr>
        <w:t>评分标准：见评标办法前附表；</w:t>
      </w:r>
    </w:p>
    <w:p w14:paraId="3BB5C7DF">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2.2.2技术</w:t>
      </w:r>
      <w:r>
        <w:rPr>
          <w:rFonts w:hint="eastAsia" w:ascii="宋体" w:hAnsi="宋体" w:eastAsia="宋体" w:cs="宋体"/>
          <w:sz w:val="24"/>
          <w:szCs w:val="24"/>
          <w:highlight w:val="none"/>
          <w:lang w:val="en-US" w:eastAsia="zh-CN"/>
        </w:rPr>
        <w:t>标</w:t>
      </w:r>
      <w:r>
        <w:rPr>
          <w:rFonts w:hint="eastAsia" w:ascii="宋体" w:hAnsi="宋体" w:eastAsia="宋体" w:cs="宋体"/>
          <w:sz w:val="24"/>
          <w:szCs w:val="24"/>
          <w:highlight w:val="none"/>
        </w:rPr>
        <w:t>评分标准：见评标办法前附表；</w:t>
      </w:r>
    </w:p>
    <w:p w14:paraId="17B600E5">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2.2.3</w:t>
      </w:r>
      <w:r>
        <w:rPr>
          <w:rFonts w:hint="eastAsia" w:ascii="宋体" w:hAnsi="宋体" w:eastAsia="宋体" w:cs="宋体"/>
          <w:sz w:val="24"/>
          <w:szCs w:val="24"/>
          <w:highlight w:val="none"/>
          <w:lang w:val="en-US" w:eastAsia="zh-CN"/>
        </w:rPr>
        <w:t>综合标</w:t>
      </w:r>
      <w:r>
        <w:rPr>
          <w:rFonts w:hint="eastAsia" w:ascii="宋体" w:hAnsi="宋体" w:eastAsia="宋体" w:cs="宋体"/>
          <w:sz w:val="24"/>
          <w:szCs w:val="24"/>
          <w:highlight w:val="none"/>
        </w:rPr>
        <w:t>评分标准：见评标办法前附表。</w:t>
      </w:r>
    </w:p>
    <w:p w14:paraId="735E4152">
      <w:pPr>
        <w:pageBreakBefore w:val="0"/>
        <w:kinsoku/>
        <w:overflowPunct/>
        <w:topLinePunct w:val="0"/>
        <w:bidi w:val="0"/>
        <w:spacing w:line="360" w:lineRule="auto"/>
        <w:ind w:firstLine="482" w:firstLineChars="200"/>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3.评标程序</w:t>
      </w:r>
    </w:p>
    <w:p w14:paraId="45EE2BAD">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3.1.1 </w:t>
      </w:r>
      <w:r>
        <w:rPr>
          <w:rFonts w:hint="eastAsia" w:ascii="宋体" w:hAnsi="宋体" w:eastAsia="宋体" w:cs="宋体"/>
          <w:spacing w:val="6"/>
          <w:sz w:val="24"/>
          <w:szCs w:val="24"/>
          <w:highlight w:val="none"/>
          <w:lang w:eastAsia="zh-CN"/>
        </w:rPr>
        <w:t>磋商小组</w:t>
      </w:r>
      <w:r>
        <w:rPr>
          <w:rFonts w:hint="eastAsia" w:ascii="宋体" w:hAnsi="宋体" w:eastAsia="宋体" w:cs="宋体"/>
          <w:sz w:val="24"/>
          <w:szCs w:val="24"/>
          <w:highlight w:val="none"/>
        </w:rPr>
        <w:t>依据本章评标办法前附表第2.1.1项、第2.1.2项、第2.1.3项规定的评审标准对投标文件进行初步评审。有一项不符合评审标准的，其投标将被否决。</w:t>
      </w:r>
    </w:p>
    <w:p w14:paraId="5C509FC3">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3.2</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有以下情形之一的，其投标作无效标处理：</w:t>
      </w:r>
    </w:p>
    <w:p w14:paraId="23691870">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（1）串通投标或弄虚作假或有其他违法行为的；</w:t>
      </w:r>
    </w:p>
    <w:p w14:paraId="13088A81">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（2）不按磋商小组要求澄清、说明或补正的。</w:t>
      </w:r>
    </w:p>
    <w:p w14:paraId="0487C2BF">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3.3投标报价有算术错误的，磋商小组按以下原则对投标报价进行修正，修正的价格经</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书面确认后具有约束力。</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不接受修正价格的，其投标被否决。</w:t>
      </w:r>
    </w:p>
    <w:p w14:paraId="565EA41D">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磋商文件中的大写金额与小写金额不一致的，以大写金额为准；</w:t>
      </w:r>
    </w:p>
    <w:p w14:paraId="004B59C6">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3.4详细评审</w:t>
      </w:r>
    </w:p>
    <w:p w14:paraId="7F38A138">
      <w:pPr>
        <w:pageBreakBefore w:val="0"/>
        <w:kinsoku/>
        <w:overflowPunct/>
        <w:topLinePunct w:val="0"/>
        <w:bidi w:val="0"/>
        <w:spacing w:line="44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3.4.1 磋商小组按本章第2.2款规定的量化因素和分值进行打分，并计算出综合评估得分。</w:t>
      </w:r>
    </w:p>
    <w:p w14:paraId="7CC806E9">
      <w:pPr>
        <w:pageBreakBefore w:val="0"/>
        <w:kinsoku/>
        <w:overflowPunct/>
        <w:topLinePunct w:val="0"/>
        <w:bidi w:val="0"/>
        <w:spacing w:line="440" w:lineRule="exact"/>
        <w:ind w:firstLine="240" w:firstLineChars="1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（1）按本章第2.2.2（1）规定的评审因素和分值对磋商报价计算出得分；</w:t>
      </w:r>
    </w:p>
    <w:p w14:paraId="7EFE00B9">
      <w:pPr>
        <w:pageBreakBefore w:val="0"/>
        <w:kinsoku/>
        <w:overflowPunct/>
        <w:topLinePunct w:val="0"/>
        <w:bidi w:val="0"/>
        <w:spacing w:line="440" w:lineRule="exact"/>
        <w:ind w:firstLine="240" w:firstLineChars="1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（2）按本章第2.2.2（2）规定的评审因素和分值对技术部分计算出得分；</w:t>
      </w:r>
    </w:p>
    <w:p w14:paraId="7D6F24F1">
      <w:pPr>
        <w:pageBreakBefore w:val="0"/>
        <w:kinsoku/>
        <w:overflowPunct/>
        <w:topLinePunct w:val="0"/>
        <w:bidi w:val="0"/>
        <w:spacing w:line="440" w:lineRule="exact"/>
        <w:ind w:firstLine="240" w:firstLineChars="1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（3）按本章第2.2.2（3）规定的评审因素和分值对</w:t>
      </w:r>
      <w:r>
        <w:rPr>
          <w:rFonts w:hint="eastAsia" w:ascii="宋体" w:hAnsi="宋体" w:eastAsia="宋体" w:cs="宋体"/>
          <w:sz w:val="24"/>
          <w:szCs w:val="24"/>
          <w:highlight w:val="none"/>
          <w:lang w:eastAsia="zh-CN"/>
        </w:rPr>
        <w:t>综合</w:t>
      </w:r>
      <w:r>
        <w:rPr>
          <w:rFonts w:hint="eastAsia" w:ascii="宋体" w:hAnsi="宋体" w:eastAsia="宋体" w:cs="宋体"/>
          <w:sz w:val="24"/>
          <w:szCs w:val="24"/>
          <w:highlight w:val="none"/>
        </w:rPr>
        <w:t>部分计算出得分；</w:t>
      </w:r>
    </w:p>
    <w:p w14:paraId="1A904EF4">
      <w:pPr>
        <w:pageBreakBefore w:val="0"/>
        <w:kinsoku/>
        <w:overflowPunct/>
        <w:topLinePunct w:val="0"/>
        <w:bidi w:val="0"/>
        <w:spacing w:line="44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3.4.2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得分=技术部分+磋商报价+</w:t>
      </w:r>
      <w:r>
        <w:rPr>
          <w:rFonts w:hint="eastAsia" w:ascii="宋体" w:hAnsi="宋体" w:eastAsia="宋体" w:cs="宋体"/>
          <w:sz w:val="24"/>
          <w:szCs w:val="24"/>
          <w:highlight w:val="none"/>
          <w:lang w:eastAsia="zh-CN"/>
        </w:rPr>
        <w:t>综合</w:t>
      </w:r>
      <w:r>
        <w:rPr>
          <w:rFonts w:hint="eastAsia" w:ascii="宋体" w:hAnsi="宋体" w:eastAsia="宋体" w:cs="宋体"/>
          <w:sz w:val="24"/>
          <w:szCs w:val="24"/>
          <w:highlight w:val="none"/>
        </w:rPr>
        <w:t>部分。</w:t>
      </w:r>
    </w:p>
    <w:p w14:paraId="77F6B24A">
      <w:pPr>
        <w:pageBreakBefore w:val="0"/>
        <w:kinsoku/>
        <w:overflowPunct/>
        <w:topLinePunct w:val="0"/>
        <w:bidi w:val="0"/>
        <w:spacing w:line="44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3.4.3 在磋商小组完成对技术部分、磋商报价和</w:t>
      </w:r>
      <w:r>
        <w:rPr>
          <w:rFonts w:hint="eastAsia" w:ascii="宋体" w:hAnsi="宋体" w:eastAsia="宋体" w:cs="宋体"/>
          <w:sz w:val="24"/>
          <w:szCs w:val="24"/>
          <w:highlight w:val="none"/>
          <w:lang w:eastAsia="zh-CN"/>
        </w:rPr>
        <w:t>综合</w:t>
      </w:r>
      <w:r>
        <w:rPr>
          <w:rFonts w:hint="eastAsia" w:ascii="宋体" w:hAnsi="宋体" w:eastAsia="宋体" w:cs="宋体"/>
          <w:sz w:val="24"/>
          <w:szCs w:val="24"/>
          <w:highlight w:val="none"/>
        </w:rPr>
        <w:t>部分的汇总后取平均值，作为该</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的最终得分。</w:t>
      </w:r>
    </w:p>
    <w:p w14:paraId="5DD980F1">
      <w:pPr>
        <w:pageBreakBefore w:val="0"/>
        <w:kinsoku/>
        <w:overflowPunct/>
        <w:topLinePunct w:val="0"/>
        <w:bidi w:val="0"/>
        <w:spacing w:line="440" w:lineRule="exac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3.4.4磋商小组发现</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的报价明显低于其他投标报价，使得其投标报价可能低于其个别成本的，应当要求该</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做出书面说明并提供相应的证明材料。</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不能合理说明或者不能提供相应证明材料的，磋商小组应当认定该</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以低于成本报价竞标，否决其投标。</w:t>
      </w:r>
    </w:p>
    <w:p w14:paraId="2CCBE4AA">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3.5 响应性文件的澄清和补正</w:t>
      </w:r>
    </w:p>
    <w:p w14:paraId="102E4016">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3.5.1在评标过程中，磋商小组可以书面形式要求</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对所提交响应性文件中不明确的内容进行书面澄清或说明，或者对细微偏差进行补正。磋商小组不接受</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主动提出的澄清、说明或补正。</w:t>
      </w:r>
    </w:p>
    <w:p w14:paraId="69B8B14B">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3.5.2 澄清、说明和补正不得改变响应性文件的实质性内容。</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的书面澄清、说明和补正属于响应性文件的组成部分。</w:t>
      </w:r>
    </w:p>
    <w:p w14:paraId="15590BC2">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3.5.3 磋商小组对</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提交的澄清、说明或补正有疑问的，可以要求</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进一步澄清、说明或补正，直至满足磋商小组的要求。</w:t>
      </w:r>
    </w:p>
    <w:p w14:paraId="2B6BEDC2">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3.6 评标结果</w:t>
      </w:r>
    </w:p>
    <w:p w14:paraId="1055C411">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3.6.1除第二章“</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须知”前附表授权直接确定成交人外，磋商小组按照得分由高到低的顺序推荐成交候选人。</w:t>
      </w:r>
    </w:p>
    <w:p w14:paraId="188915F3">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3.6.2 磋商小组完成评标后，应当向</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提交书面评标报告。</w:t>
      </w:r>
    </w:p>
    <w:p w14:paraId="5C163F22">
      <w:pPr>
        <w:pageBreakBefore w:val="0"/>
        <w:kinsoku/>
        <w:overflowPunct/>
        <w:topLinePunct w:val="0"/>
        <w:bidi w:val="0"/>
        <w:outlineLvl w:val="9"/>
        <w:rPr>
          <w:rFonts w:hint="eastAsia" w:ascii="宋体" w:hAnsi="宋体" w:eastAsia="宋体" w:cs="宋体"/>
          <w:szCs w:val="21"/>
          <w:highlight w:val="none"/>
        </w:rPr>
      </w:pPr>
    </w:p>
    <w:p w14:paraId="5218CD3D">
      <w:pPr>
        <w:pageBreakBefore w:val="0"/>
        <w:kinsoku/>
        <w:overflowPunct/>
        <w:topLinePunct w:val="0"/>
        <w:bidi w:val="0"/>
        <w:outlineLvl w:val="9"/>
        <w:rPr>
          <w:rFonts w:hint="eastAsia" w:ascii="宋体" w:hAnsi="宋体" w:eastAsia="宋体" w:cs="宋体"/>
          <w:b/>
          <w:kern w:val="44"/>
          <w:sz w:val="36"/>
          <w:szCs w:val="36"/>
          <w:highlight w:val="none"/>
        </w:rPr>
      </w:pPr>
    </w:p>
    <w:p w14:paraId="32A96F0F">
      <w:pPr>
        <w:pageBreakBefore w:val="0"/>
        <w:widowControl/>
        <w:kinsoku/>
        <w:overflowPunct/>
        <w:topLinePunct w:val="0"/>
        <w:bidi w:val="0"/>
        <w:jc w:val="left"/>
        <w:outlineLvl w:val="9"/>
        <w:rPr>
          <w:rFonts w:hint="eastAsia" w:ascii="宋体" w:hAnsi="宋体" w:eastAsia="宋体" w:cs="宋体"/>
          <w:b/>
          <w:kern w:val="44"/>
          <w:sz w:val="36"/>
          <w:szCs w:val="36"/>
          <w:highlight w:val="none"/>
        </w:rPr>
      </w:pPr>
      <w:r>
        <w:rPr>
          <w:rFonts w:hint="eastAsia" w:ascii="宋体" w:hAnsi="宋体" w:eastAsia="宋体" w:cs="宋体"/>
          <w:b/>
          <w:kern w:val="44"/>
          <w:sz w:val="36"/>
          <w:szCs w:val="36"/>
          <w:highlight w:val="none"/>
        </w:rPr>
        <w:br w:type="page"/>
      </w:r>
    </w:p>
    <w:p w14:paraId="65AF53C8">
      <w:pPr>
        <w:pStyle w:val="22"/>
        <w:rPr>
          <w:rFonts w:hint="eastAsia" w:ascii="宋体" w:hAnsi="宋体" w:eastAsia="宋体" w:cs="宋体"/>
          <w:color w:val="auto"/>
          <w:sz w:val="24"/>
          <w:szCs w:val="24"/>
          <w:highlight w:val="none"/>
          <w:lang w:val="en-US" w:eastAsia="zh-CN"/>
        </w:rPr>
      </w:pPr>
    </w:p>
    <w:bookmarkEnd w:id="251"/>
    <w:p w14:paraId="17A6F28F">
      <w:pPr>
        <w:keepNext/>
        <w:keepLines/>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b/>
          <w:bCs/>
          <w:sz w:val="36"/>
          <w:szCs w:val="40"/>
          <w:highlight w:val="none"/>
        </w:rPr>
      </w:pPr>
      <w:bookmarkStart w:id="1122" w:name="_Toc26578"/>
      <w:bookmarkStart w:id="1123" w:name="_Toc29119"/>
      <w:bookmarkStart w:id="1124" w:name="_Toc2107"/>
      <w:bookmarkStart w:id="1125" w:name="_Toc29787"/>
      <w:bookmarkStart w:id="1126" w:name="_Toc13902"/>
      <w:r>
        <w:rPr>
          <w:rFonts w:hint="eastAsia"/>
          <w:b/>
          <w:bCs/>
          <w:sz w:val="36"/>
          <w:szCs w:val="40"/>
          <w:highlight w:val="none"/>
        </w:rPr>
        <w:t>第六章  工程量清单（另附）</w:t>
      </w:r>
      <w:bookmarkEnd w:id="1122"/>
      <w:bookmarkEnd w:id="1123"/>
      <w:bookmarkEnd w:id="1124"/>
      <w:bookmarkEnd w:id="1125"/>
    </w:p>
    <w:p w14:paraId="2E51A02B">
      <w:pPr>
        <w:numPr>
          <w:ilvl w:val="0"/>
          <w:numId w:val="0"/>
        </w:numPr>
        <w:jc w:val="center"/>
        <w:rPr>
          <w:rFonts w:hint="eastAsia"/>
          <w:b/>
          <w:bCs/>
          <w:sz w:val="32"/>
          <w:szCs w:val="36"/>
          <w:highlight w:val="none"/>
        </w:rPr>
      </w:pPr>
      <w:r>
        <w:rPr>
          <w:rFonts w:hint="eastAsia"/>
          <w:b/>
          <w:bCs/>
          <w:color w:val="0000FF"/>
          <w:sz w:val="24"/>
          <w:szCs w:val="28"/>
          <w:highlight w:val="none"/>
          <w:lang w:val="en-US" w:eastAsia="zh-CN"/>
        </w:rPr>
        <w:t>（该部分为三标段的项目内容，仅参与一标段、二标段的供应商请忽略）</w:t>
      </w:r>
    </w:p>
    <w:p w14:paraId="5DA613F1">
      <w:pPr>
        <w:pageBreakBefore w:val="0"/>
        <w:widowControl/>
        <w:kinsoku/>
        <w:overflowPunct/>
        <w:topLinePunct w:val="0"/>
        <w:bidi w:val="0"/>
        <w:jc w:val="left"/>
        <w:outlineLvl w:val="9"/>
        <w:rPr>
          <w:rFonts w:hint="eastAsia" w:ascii="宋体" w:hAnsi="宋体" w:eastAsia="宋体" w:cs="宋体"/>
          <w:b/>
          <w:color w:val="auto"/>
          <w:kern w:val="44"/>
          <w:sz w:val="32"/>
          <w:szCs w:val="32"/>
          <w:highlight w:val="none"/>
        </w:rPr>
      </w:pPr>
      <w:r>
        <w:rPr>
          <w:rFonts w:hint="eastAsia" w:ascii="宋体" w:hAnsi="宋体" w:eastAsia="宋体" w:cs="宋体"/>
          <w:b/>
          <w:color w:val="auto"/>
          <w:kern w:val="44"/>
          <w:sz w:val="32"/>
          <w:szCs w:val="32"/>
          <w:highlight w:val="none"/>
        </w:rPr>
        <w:br w:type="page"/>
      </w:r>
    </w:p>
    <w:bookmarkEnd w:id="1126"/>
    <w:p w14:paraId="261D7DFF">
      <w:pPr>
        <w:keepNext/>
        <w:keepLines/>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b/>
          <w:bCs/>
          <w:sz w:val="36"/>
          <w:szCs w:val="40"/>
          <w:highlight w:val="none"/>
        </w:rPr>
      </w:pPr>
      <w:bookmarkStart w:id="1127" w:name="_Toc69718838"/>
      <w:bookmarkEnd w:id="1127"/>
      <w:bookmarkStart w:id="1128" w:name="_Toc69718840"/>
      <w:bookmarkEnd w:id="1128"/>
      <w:bookmarkStart w:id="1129" w:name="_Toc12228"/>
      <w:bookmarkStart w:id="1130" w:name="_Toc14494"/>
      <w:bookmarkStart w:id="1131" w:name="_Toc6816"/>
      <w:bookmarkStart w:id="1132" w:name="_Toc22437"/>
      <w:bookmarkStart w:id="1133" w:name="_Toc23727"/>
      <w:bookmarkStart w:id="1134" w:name="_Toc32083"/>
      <w:bookmarkStart w:id="1135" w:name="_Toc17283"/>
      <w:r>
        <w:rPr>
          <w:rFonts w:hint="eastAsia"/>
          <w:b/>
          <w:bCs/>
          <w:sz w:val="36"/>
          <w:szCs w:val="40"/>
          <w:highlight w:val="none"/>
        </w:rPr>
        <w:t>第七章  图纸（另附）</w:t>
      </w:r>
      <w:bookmarkEnd w:id="1129"/>
      <w:bookmarkEnd w:id="1130"/>
      <w:bookmarkEnd w:id="1131"/>
      <w:bookmarkEnd w:id="1132"/>
    </w:p>
    <w:p w14:paraId="534DA7CE">
      <w:pPr>
        <w:numPr>
          <w:ilvl w:val="0"/>
          <w:numId w:val="0"/>
        </w:numPr>
        <w:jc w:val="center"/>
        <w:rPr>
          <w:rFonts w:hint="eastAsia"/>
          <w:b/>
          <w:bCs/>
          <w:sz w:val="32"/>
          <w:szCs w:val="36"/>
          <w:highlight w:val="none"/>
        </w:rPr>
      </w:pPr>
      <w:r>
        <w:rPr>
          <w:rFonts w:hint="eastAsia"/>
          <w:b/>
          <w:bCs/>
          <w:color w:val="0000FF"/>
          <w:sz w:val="24"/>
          <w:szCs w:val="28"/>
          <w:highlight w:val="none"/>
          <w:lang w:val="en-US" w:eastAsia="zh-CN"/>
        </w:rPr>
        <w:t>（该部分为三标段的项目内容，仅参与一标段、二标段的供应商请忽略）</w:t>
      </w:r>
    </w:p>
    <w:p w14:paraId="36649DF6">
      <w:pPr>
        <w:pageBreakBefore w:val="0"/>
        <w:kinsoku/>
        <w:overflowPunct/>
        <w:topLinePunct w:val="0"/>
        <w:bidi w:val="0"/>
        <w:spacing w:line="360" w:lineRule="auto"/>
        <w:ind w:firstLine="200"/>
        <w:jc w:val="center"/>
        <w:outlineLvl w:val="9"/>
        <w:rPr>
          <w:rFonts w:hint="eastAsia" w:ascii="宋体" w:hAnsi="宋体" w:eastAsia="宋体" w:cs="宋体"/>
          <w:b/>
          <w:bCs/>
          <w:sz w:val="28"/>
          <w:szCs w:val="28"/>
          <w:highlight w:val="none"/>
        </w:rPr>
      </w:pPr>
    </w:p>
    <w:p w14:paraId="304E736E">
      <w:pPr>
        <w:pStyle w:val="21"/>
        <w:rPr>
          <w:rFonts w:hint="eastAsia" w:ascii="宋体" w:hAnsi="宋体" w:eastAsia="宋体" w:cs="宋体"/>
          <w:b/>
          <w:bCs/>
          <w:sz w:val="32"/>
          <w:szCs w:val="32"/>
          <w:highlight w:val="none"/>
        </w:rPr>
      </w:pPr>
    </w:p>
    <w:p w14:paraId="05B3D5D0">
      <w:pPr>
        <w:pStyle w:val="21"/>
        <w:rPr>
          <w:rFonts w:hint="eastAsia" w:ascii="宋体" w:hAnsi="宋体" w:eastAsia="宋体" w:cs="宋体"/>
          <w:b/>
          <w:bCs/>
          <w:sz w:val="32"/>
          <w:szCs w:val="32"/>
          <w:highlight w:val="none"/>
        </w:rPr>
      </w:pPr>
    </w:p>
    <w:p w14:paraId="514534BF">
      <w:pPr>
        <w:pStyle w:val="21"/>
        <w:rPr>
          <w:rFonts w:hint="eastAsia" w:ascii="宋体" w:hAnsi="宋体" w:eastAsia="宋体" w:cs="宋体"/>
          <w:b/>
          <w:bCs/>
          <w:sz w:val="32"/>
          <w:szCs w:val="32"/>
          <w:highlight w:val="none"/>
        </w:rPr>
      </w:pPr>
    </w:p>
    <w:p w14:paraId="49C12F8A">
      <w:pPr>
        <w:pStyle w:val="21"/>
        <w:rPr>
          <w:rFonts w:hint="eastAsia" w:ascii="宋体" w:hAnsi="宋体" w:eastAsia="宋体" w:cs="宋体"/>
          <w:b/>
          <w:bCs/>
          <w:sz w:val="32"/>
          <w:szCs w:val="32"/>
          <w:highlight w:val="none"/>
        </w:rPr>
      </w:pPr>
    </w:p>
    <w:p w14:paraId="36E8A23F">
      <w:pPr>
        <w:pStyle w:val="21"/>
        <w:rPr>
          <w:rFonts w:hint="eastAsia" w:ascii="宋体" w:hAnsi="宋体" w:eastAsia="宋体" w:cs="宋体"/>
          <w:b/>
          <w:bCs/>
          <w:sz w:val="32"/>
          <w:szCs w:val="32"/>
          <w:highlight w:val="none"/>
        </w:rPr>
      </w:pPr>
    </w:p>
    <w:p w14:paraId="33E991DA">
      <w:pPr>
        <w:pStyle w:val="21"/>
        <w:rPr>
          <w:rFonts w:hint="eastAsia" w:ascii="宋体" w:hAnsi="宋体" w:eastAsia="宋体" w:cs="宋体"/>
          <w:b/>
          <w:bCs/>
          <w:sz w:val="32"/>
          <w:szCs w:val="32"/>
          <w:highlight w:val="none"/>
        </w:rPr>
      </w:pPr>
    </w:p>
    <w:p w14:paraId="2EC8FF43">
      <w:pPr>
        <w:pStyle w:val="21"/>
        <w:rPr>
          <w:rFonts w:hint="eastAsia" w:ascii="宋体" w:hAnsi="宋体" w:eastAsia="宋体" w:cs="宋体"/>
          <w:b/>
          <w:bCs/>
          <w:sz w:val="32"/>
          <w:szCs w:val="32"/>
          <w:highlight w:val="none"/>
        </w:rPr>
      </w:pPr>
    </w:p>
    <w:p w14:paraId="0C6F3537">
      <w:pPr>
        <w:pStyle w:val="21"/>
        <w:rPr>
          <w:rFonts w:hint="eastAsia" w:ascii="宋体" w:hAnsi="宋体" w:eastAsia="宋体" w:cs="宋体"/>
          <w:b/>
          <w:bCs/>
          <w:sz w:val="32"/>
          <w:szCs w:val="32"/>
          <w:highlight w:val="none"/>
        </w:rPr>
      </w:pPr>
    </w:p>
    <w:p w14:paraId="437A950E">
      <w:pPr>
        <w:pStyle w:val="21"/>
        <w:rPr>
          <w:rFonts w:hint="eastAsia" w:ascii="宋体" w:hAnsi="宋体" w:eastAsia="宋体" w:cs="宋体"/>
          <w:b/>
          <w:bCs/>
          <w:sz w:val="32"/>
          <w:szCs w:val="32"/>
          <w:highlight w:val="none"/>
        </w:rPr>
      </w:pPr>
    </w:p>
    <w:p w14:paraId="4BACDE1C">
      <w:pPr>
        <w:pStyle w:val="21"/>
        <w:rPr>
          <w:rFonts w:hint="eastAsia" w:ascii="宋体" w:hAnsi="宋体" w:eastAsia="宋体" w:cs="宋体"/>
          <w:b/>
          <w:bCs/>
          <w:sz w:val="32"/>
          <w:szCs w:val="32"/>
          <w:highlight w:val="none"/>
        </w:rPr>
      </w:pPr>
    </w:p>
    <w:p w14:paraId="73725D65">
      <w:pPr>
        <w:pStyle w:val="21"/>
        <w:rPr>
          <w:rFonts w:hint="eastAsia" w:ascii="宋体" w:hAnsi="宋体" w:eastAsia="宋体" w:cs="宋体"/>
          <w:b/>
          <w:bCs/>
          <w:sz w:val="32"/>
          <w:szCs w:val="32"/>
          <w:highlight w:val="none"/>
        </w:rPr>
      </w:pPr>
    </w:p>
    <w:p w14:paraId="275B56D3">
      <w:pPr>
        <w:pStyle w:val="21"/>
        <w:rPr>
          <w:rFonts w:hint="eastAsia" w:ascii="宋体" w:hAnsi="宋体" w:eastAsia="宋体" w:cs="宋体"/>
          <w:b/>
          <w:bCs/>
          <w:sz w:val="32"/>
          <w:szCs w:val="32"/>
          <w:highlight w:val="none"/>
        </w:rPr>
      </w:pPr>
    </w:p>
    <w:p w14:paraId="30C3165A">
      <w:pPr>
        <w:pStyle w:val="21"/>
        <w:rPr>
          <w:rFonts w:hint="eastAsia" w:ascii="宋体" w:hAnsi="宋体" w:eastAsia="宋体" w:cs="宋体"/>
          <w:b/>
          <w:bCs/>
          <w:sz w:val="32"/>
          <w:szCs w:val="32"/>
          <w:highlight w:val="none"/>
        </w:rPr>
      </w:pPr>
    </w:p>
    <w:p w14:paraId="51897140">
      <w:pPr>
        <w:pStyle w:val="21"/>
        <w:rPr>
          <w:rFonts w:hint="eastAsia" w:ascii="宋体" w:hAnsi="宋体" w:eastAsia="宋体" w:cs="宋体"/>
          <w:b/>
          <w:bCs/>
          <w:sz w:val="32"/>
          <w:szCs w:val="32"/>
          <w:highlight w:val="none"/>
        </w:rPr>
      </w:pPr>
    </w:p>
    <w:p w14:paraId="61EE222D">
      <w:pPr>
        <w:pStyle w:val="21"/>
        <w:rPr>
          <w:rFonts w:hint="eastAsia" w:ascii="宋体" w:hAnsi="宋体" w:eastAsia="宋体" w:cs="宋体"/>
          <w:b/>
          <w:bCs/>
          <w:sz w:val="32"/>
          <w:szCs w:val="32"/>
          <w:highlight w:val="none"/>
        </w:rPr>
      </w:pPr>
    </w:p>
    <w:p w14:paraId="2676739E">
      <w:pPr>
        <w:pStyle w:val="21"/>
        <w:rPr>
          <w:rFonts w:hint="eastAsia" w:ascii="宋体" w:hAnsi="宋体" w:eastAsia="宋体" w:cs="宋体"/>
          <w:b/>
          <w:bCs/>
          <w:sz w:val="32"/>
          <w:szCs w:val="32"/>
          <w:highlight w:val="none"/>
        </w:rPr>
      </w:pPr>
    </w:p>
    <w:p w14:paraId="6DFB3B30">
      <w:pPr>
        <w:keepNext/>
        <w:keepLines/>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b/>
          <w:bCs/>
          <w:sz w:val="36"/>
          <w:szCs w:val="40"/>
          <w:highlight w:val="none"/>
          <w:lang w:val="en-US" w:eastAsia="zh-CN"/>
        </w:rPr>
      </w:pPr>
      <w:bookmarkStart w:id="1136" w:name="_Toc3158"/>
      <w:r>
        <w:rPr>
          <w:rFonts w:hint="eastAsia"/>
          <w:b/>
          <w:bCs/>
          <w:sz w:val="36"/>
          <w:szCs w:val="40"/>
          <w:highlight w:val="none"/>
          <w:lang w:val="en-US" w:eastAsia="zh-CN"/>
        </w:rPr>
        <w:t>第八章 采购内容及要求</w:t>
      </w:r>
      <w:bookmarkEnd w:id="1136"/>
    </w:p>
    <w:p w14:paraId="65E1FB02">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outlineLvl w:val="0"/>
        <w:rPr>
          <w:rFonts w:hint="eastAsia"/>
          <w:b/>
          <w:bCs/>
          <w:color w:val="0000FF"/>
          <w:sz w:val="28"/>
          <w:szCs w:val="32"/>
          <w:highlight w:val="none"/>
          <w:lang w:val="en-US" w:eastAsia="zh-CN"/>
        </w:rPr>
      </w:pPr>
      <w:bookmarkStart w:id="1137" w:name="_Toc18989"/>
      <w:r>
        <w:rPr>
          <w:rFonts w:hint="eastAsia"/>
          <w:b/>
          <w:bCs/>
          <w:color w:val="0000FF"/>
          <w:sz w:val="28"/>
          <w:szCs w:val="32"/>
          <w:highlight w:val="none"/>
          <w:lang w:val="en-US" w:eastAsia="zh-CN"/>
        </w:rPr>
        <w:t>（该部分为一标段、二标段项目内容，仅参与三标段的供应商请忽略）</w:t>
      </w:r>
      <w:bookmarkEnd w:id="1137"/>
    </w:p>
    <w:p w14:paraId="4046C35D">
      <w:pPr>
        <w:keepNext w:val="0"/>
        <w:keepLines w:val="0"/>
        <w:pageBreakBefore w:val="0"/>
        <w:widowControl w:val="0"/>
        <w:kinsoku/>
        <w:wordWrap/>
        <w:overflowPunct/>
        <w:topLinePunct w:val="0"/>
        <w:autoSpaceDE/>
        <w:autoSpaceDN/>
        <w:bidi w:val="0"/>
        <w:adjustRightInd/>
        <w:snapToGrid/>
        <w:spacing w:line="360" w:lineRule="auto"/>
        <w:contextualSpacing/>
        <w:jc w:val="both"/>
        <w:textAlignment w:val="auto"/>
        <w:outlineLvl w:val="0"/>
        <w:rPr>
          <w:rFonts w:hint="eastAsia"/>
          <w:b/>
          <w:bCs/>
          <w:color w:val="auto"/>
          <w:sz w:val="28"/>
          <w:szCs w:val="32"/>
          <w:highlight w:val="none"/>
          <w:lang w:val="en-US" w:eastAsia="zh-CN"/>
        </w:rPr>
      </w:pPr>
      <w:r>
        <w:rPr>
          <w:rFonts w:hint="eastAsia"/>
          <w:b/>
          <w:bCs/>
          <w:color w:val="auto"/>
          <w:sz w:val="28"/>
          <w:szCs w:val="32"/>
          <w:highlight w:val="none"/>
          <w:lang w:val="en-US" w:eastAsia="zh-CN"/>
        </w:rPr>
        <w:t>一标段：</w:t>
      </w:r>
    </w:p>
    <w:tbl>
      <w:tblPr>
        <w:tblStyle w:val="23"/>
        <w:tblW w:w="101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632"/>
        <w:gridCol w:w="1485"/>
        <w:gridCol w:w="6382"/>
        <w:gridCol w:w="810"/>
        <w:gridCol w:w="803"/>
      </w:tblGrid>
      <w:tr w14:paraId="4351B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581" w:hRule="atLeast"/>
          <w:tblHeader/>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89CA">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51EE">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名称</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D835">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项目特征</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6C10">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单位</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FD0B">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数量</w:t>
            </w:r>
          </w:p>
        </w:tc>
      </w:tr>
      <w:tr w14:paraId="18FEC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569"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402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EF8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LED成像灯</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8D6E">
            <w:pPr>
              <w:keepNext w:val="0"/>
              <w:keepLines w:val="0"/>
              <w:widowControl/>
              <w:suppressLineNumbers w:val="0"/>
              <w:snapToGrid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1.部位: 面光桥2排*24台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2.光    源: 300W高显指LEDCOB灯珠</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3.电源电压: AC100~240V，50/60Hz</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4.额定功率: 350W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5.光源寿命: 50000小时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6.显色指数: Ra（CRI）≥95，R9≥90,TLCI≥95</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7.中心照度: 5米12685LUX（5600K，19°）</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8.色    温: 5600K</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9.调    光:  0~100%线性调光，无闪烁、抖动，跳变</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10.通道模式: 1CH/2CH</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11.控制面板: LCD数码显示屏+按键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12.光    学: 成像灯专用组合镜头，10°/19°/26°/36°/50°可选，内置四个遮光片，24K无闪烁光源管理系统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13.散热方式: 铜管散热器+智能静音风机散热系统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14.噪    音: 1米噪音≤30db</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15.温度监控: 内置温度保护传感器,过温保护</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16.控制模式: DMX有线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17.防护等级: IP20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18.配    件: 电源线，信号线, 灯勾 保险绳</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19.剧场专用成像灯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BA1C">
            <w:pPr>
              <w:keepNext w:val="0"/>
              <w:keepLines w:val="0"/>
              <w:widowControl/>
              <w:suppressLineNumbers w:val="0"/>
              <w:snapToGrid w:val="0"/>
              <w:jc w:val="center"/>
              <w:textAlignment w:val="center"/>
              <w:rPr>
                <w:rFonts w:hint="eastAsia" w:ascii="宋体" w:hAnsi="宋体" w:eastAsia="宋体" w:cs="宋体"/>
                <w:i w:val="0"/>
                <w:iCs w:val="0"/>
                <w:color w:val="000000"/>
                <w:sz w:val="24"/>
                <w:szCs w:val="28"/>
                <w:highlight w:val="none"/>
                <w:u w:val="none"/>
              </w:rPr>
            </w:pPr>
            <w:r>
              <w:rPr>
                <w:rFonts w:hint="eastAsia" w:ascii="宋体" w:hAnsi="宋体" w:eastAsia="宋体" w:cs="宋体"/>
                <w:i w:val="0"/>
                <w:iCs w:val="0"/>
                <w:color w:val="000000"/>
                <w:kern w:val="0"/>
                <w:sz w:val="24"/>
                <w:szCs w:val="28"/>
                <w:highlight w:val="none"/>
                <w:u w:val="none"/>
                <w:lang w:val="en-US" w:eastAsia="zh-CN" w:bidi="ar"/>
              </w:rPr>
              <w:t>台</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700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w:t>
            </w:r>
          </w:p>
        </w:tc>
      </w:tr>
      <w:tr w14:paraId="02D35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3119"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A38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8FC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电脑切割灯</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29A0">
            <w:pPr>
              <w:keepNext w:val="0"/>
              <w:keepLines w:val="0"/>
              <w:widowControl/>
              <w:suppressLineNumbers w:val="0"/>
              <w:snapToGrid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1.部位: 面光桥定点光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2.电压：AC100~240v,50/60Hz</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3.光源：1200W以上进口光源白光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4.LED寿命：20,000小时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5.CRI：≥75/≥90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6.水平扫描：540°(16 bit精度扫描)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7.垂直扫描：270° (16 bit精度扫描)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8.具有自动纠错的复位功能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9.CMY+CTO混色系统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10.色片盘: 固定式色片+白光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11.旋转图案盘：插拔式的旋转图案片+白圆，带图案抖动和图案任意定位功能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12.固定图案盘：固定图案片+白圆，带图案抖动功能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13.切割盘：一组可控制的光斑切角系统，整个切角系统可做90°旋转</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14.效果盘：模拟动态效果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15.通道：国际标准DMX512通道</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16.棱镜盘：旋转3棱镜，并具有棱镜定位功能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17.调焦：电子调焦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18.光圈：5%~100%顺滑调整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19.频闪：随机频闪及脉冲频闪</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20.调光：0~100%线性调光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21.雾化：0~100%线性雾化</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22.放大：4°~ 35°线性放大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23.液晶屏显示 带RDM功能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24.灯勾 保险绳</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25.剧场专用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404E">
            <w:pPr>
              <w:keepNext w:val="0"/>
              <w:keepLines w:val="0"/>
              <w:widowControl/>
              <w:suppressLineNumbers w:val="0"/>
              <w:snapToGrid w:val="0"/>
              <w:jc w:val="center"/>
              <w:textAlignment w:val="center"/>
              <w:rPr>
                <w:rFonts w:hint="eastAsia" w:ascii="宋体" w:hAnsi="宋体" w:eastAsia="宋体" w:cs="宋体"/>
                <w:i w:val="0"/>
                <w:iCs w:val="0"/>
                <w:color w:val="000000"/>
                <w:sz w:val="24"/>
                <w:szCs w:val="28"/>
                <w:highlight w:val="none"/>
                <w:u w:val="none"/>
              </w:rPr>
            </w:pPr>
            <w:r>
              <w:rPr>
                <w:rFonts w:hint="eastAsia" w:ascii="宋体" w:hAnsi="宋体" w:eastAsia="宋体" w:cs="宋体"/>
                <w:i w:val="0"/>
                <w:iCs w:val="0"/>
                <w:color w:val="000000"/>
                <w:kern w:val="0"/>
                <w:sz w:val="24"/>
                <w:szCs w:val="28"/>
                <w:highlight w:val="none"/>
                <w:u w:val="none"/>
                <w:lang w:val="en-US" w:eastAsia="zh-CN" w:bidi="ar"/>
              </w:rPr>
              <w:t>台</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47D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r>
      <w:tr w14:paraId="4DDDB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6376"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689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43E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LED聚光灯</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4C4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1.部位: 顶光3排*15台.侧光8组*2台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2.光    源: 200W高显指LEDCOB灯珠</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3.电源电压: AC100~240V，50/60Hz</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4.额定功率: 300W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5.光源寿命: 50000小时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6.显色指数: Ra≥95</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7.特殊显指: R9≥90,R15≥90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8.色    温: 3000K-6000K色温可调</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9.调    光: 0~100%线性调光，具有控制信号丢失状态保持功能。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10.通道模式: 1CH/2CH/4CH/5CH</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11.控制面板: LCD数码显示屏+按键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12.光    学: 15-60度线性电子变焦或手动变焦，24K无闪烁光源管理系统，不刺眼防眩目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13.散热方式: 内置风扇散热</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14.噪    音: 1米噪音≤30db</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15.温度监控: 内置温度保护传感器,过温保护</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16.控制模式: DMX有线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17.防护等级: IP20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18.配    件: 遮扉，电源线，信号线 灯勾 保险绳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C43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6D9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w:t>
            </w:r>
          </w:p>
        </w:tc>
      </w:tr>
      <w:tr w14:paraId="3DAC5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6741"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43C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4A7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LED平板灯</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DE2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1.部位: 顶光4排*8台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2.光    源:贴片高显指LED阵列</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3.电源电压: AC100~240V，50/60Hz</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4.额定功率: 200W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5.光源寿命: 50000小时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6.显色指数: Ra（CRI）≥95，R9≥90,TLCI≥95</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7.中心照度: 1米3119LUX（5600K）</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8.色    温: 3000K-6000K色温可调</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9.调    光: 0~100%线性调光，无闪烁、抖动，跳变</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10.控制面板: LED数码显示屏+按键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11.通道模式:1CH/2CH</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12.光    学:120度出光角度，24K无闪烁光源管理系统，不刺眼防眩目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13.散热方式: 空气对流无风扇自然散热</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14.噪    音:无噪音</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15.温度监控:内置温度保护传感器,过温保护</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16.控制模式: DMX512有线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17.防护等级: IP20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18.配    件: 挡光叶，电源线，信号线 灯勾 保险绳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52E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98F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w:t>
            </w:r>
          </w:p>
        </w:tc>
      </w:tr>
      <w:tr w14:paraId="78090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413"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D95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BE8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LED天排灯</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4C1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1.部位: 天排</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2.电    压：AC100～240V，50/60Hz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3.额定功率：250W</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4.光    源：RGBWA五合一</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5.光源寿命：50000小时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6.色    温：2700K-10000K全光谱可调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7.光学角度：契形反光杯45*60度</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8.颜色系统：5色LED线性混色</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9.控制模式:,DMX512控制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10.调   光：0～100%线性调光效果</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11.混色系统：HSIC（亮度/色调/饱和度/色温）</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12.控制面板：显示屏+按键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13.通道模式：5CH/10CH</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14防护等级：IP20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15.配   件：电源线，信号线 灯勾 保险绳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143B">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台</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B00A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r>
      <w:tr w14:paraId="6EF4E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2084"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314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D02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信号放大器</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021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1.部位: 栅顶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2.DMX512数码输入，DMX512直接输出。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3.输入/输出光电隔离。</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4.8路独立放大驱动输出。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5.信号放大整形功能，延长信号传输距离。</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6.保护灯光控制台DMX512输出接口，故障现场隔离</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7.电源: AC100V-240V / 50-60Hz</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00AE">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台</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A767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614AA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087"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093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9C1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扩展器</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67A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1.部位: 栅顶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2.网络信号：ART NET  TCP IP</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3.信号通道数：8路DMX512输出与输入</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4.工作电压：AC 100V~240V 47/60HZ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5.输出信号每一路独立光电隔离，隔离电源2000V DC</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6.支持ART NET网络协议的控制台</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7.可以将常规的DMX512信号转换成ART NET 网络信号。</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8.信号输出进口卡侬三芯座</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9.设备固件可通过U盘或者网络升级</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10.系统参数可通过液晶屏或者网络设置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11.铝合金外壳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E079">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台</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12D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1DBB3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090"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5B4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768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电源室硅柜维护</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29F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1.部位: 灯光电源室</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2.电源室硅柜维修：HDL曙光网络调光柜(型号D96 Plus)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烧毁硅块更换及不受控模块故障维修（含人工）</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B4F8">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组</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7F0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64AD6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2092"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61E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217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耳光室信号布线</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8E7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耳光室信号布线（灯控室-剧院吊顶维修层-栅顶设备层-舞台南侧一、二、三层耳光室-舞台北侧一、二、三层耳光室）</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六类网线60米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两芯无氧铜屏蔽信号线100米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（含人工）</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A19E">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52D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4B944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192"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988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311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柱光信号布线</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6C0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柱光信号布线（栅顶设备层-舞台南侧柱光-舞台北侧柱光）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两芯无氧铜屏蔽信号线100米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（含人工）</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A9C0">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9F6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76749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303"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9A2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C32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侧光信号布线</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476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侧光信号布线（栅顶设备层-舞台南侧4架灯笼-舞台北侧4架灯架）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两芯无氧铜屏蔽信号线100米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（含人工）</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D37A">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CBB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4FDAD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391"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87D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2A37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线路维护</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B82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维修更换损坏插座（工业级3芯16A暗装航空插座20个）</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维修线路有安全隐患接口（老化、磨损线路接头处理）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分布两芯屏蔽信号线 20米（2米*卡侬头2个*10根）*7道</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（含人工）</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1826">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道</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F16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r>
      <w:tr w14:paraId="225F1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041"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5A0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B4A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辅材</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269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桥架（灯控室-剧院吊顶维修层-栅顶设备层50*25*0.6mm镀锌线槽60米）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阻燃线管（pp20mm阻燃软管300米）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E76D9">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39B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41DB3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2988"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D51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BA0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定制投光灯</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C26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额定功率:50W</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输入电压:AC220V</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开孔尺寸：200mm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发光角度：20-45°角</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灯具芯片：欧司朗、科锐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材质:铝材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防护等级:IP65</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铝合金专用散热片</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定制COB聚光灯</w:t>
            </w:r>
            <w:r>
              <w:rPr>
                <w:rFonts w:hint="eastAsia" w:ascii="宋体" w:hAnsi="宋体" w:eastAsia="宋体" w:cs="宋体"/>
                <w:i w:val="0"/>
                <w:iCs w:val="0"/>
                <w:color w:val="000000"/>
                <w:kern w:val="0"/>
                <w:sz w:val="22"/>
                <w:szCs w:val="22"/>
                <w:highlight w:val="none"/>
                <w:u w:val="none"/>
                <w:lang w:val="en-US" w:eastAsia="zh-CN" w:bidi="ar"/>
              </w:rPr>
              <w:br w:type="textWrapping"/>
            </w:r>
            <w:r>
              <w:rPr>
                <w:rStyle w:val="67"/>
                <w:rFonts w:hint="eastAsia" w:ascii="宋体" w:hAnsi="宋体" w:eastAsia="宋体" w:cs="宋体"/>
                <w:sz w:val="22"/>
                <w:highlight w:val="none"/>
                <w:lang w:val="en-US" w:eastAsia="zh-CN" w:bidi="ar"/>
              </w:rPr>
              <w:t>高度12m，需满足亮度要求，小批量定制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0BE7">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套</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9AF1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w:t>
            </w:r>
          </w:p>
        </w:tc>
      </w:tr>
      <w:tr w14:paraId="5D723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2467"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EF2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54B3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COB投光灯</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29A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额定功率:30W</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输入电压:AC220V</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主体颜色:白色</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灯体尺寸:224*98mm开孔200mm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材质:铝材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防护等级:IP20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安装方式:嵌入</w:t>
            </w:r>
            <w:r>
              <w:rPr>
                <w:rFonts w:hint="eastAsia" w:ascii="宋体" w:hAnsi="宋体" w:eastAsia="宋体" w:cs="宋体"/>
                <w:i w:val="0"/>
                <w:iCs w:val="0"/>
                <w:color w:val="000000"/>
                <w:kern w:val="0"/>
                <w:sz w:val="22"/>
                <w:szCs w:val="22"/>
                <w:highlight w:val="none"/>
                <w:u w:val="none"/>
                <w:lang w:val="en-US" w:eastAsia="zh-CN" w:bidi="ar"/>
              </w:rPr>
              <w:br w:type="textWrapping"/>
            </w:r>
            <w:r>
              <w:rPr>
                <w:rStyle w:val="67"/>
                <w:rFonts w:hint="eastAsia" w:ascii="宋体" w:hAnsi="宋体" w:eastAsia="宋体" w:cs="宋体"/>
                <w:sz w:val="22"/>
                <w:highlight w:val="none"/>
                <w:lang w:val="en-US" w:eastAsia="zh-CN" w:bidi="ar"/>
              </w:rPr>
              <w:t>高度12m，需满足亮度要求，小批量定制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F784">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套</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0A2E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r>
      <w:tr w14:paraId="3B7A8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819"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336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A8B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灯带</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CFE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规格型号：2835  24V   120D</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功率12W/米   塑料基材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工艺：硅胶防水IP68</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宽度：10mm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型材：20*15铝型材灯槽</w:t>
            </w:r>
            <w:r>
              <w:rPr>
                <w:rFonts w:hint="eastAsia" w:ascii="宋体" w:hAnsi="宋体" w:eastAsia="宋体" w:cs="宋体"/>
                <w:i w:val="0"/>
                <w:iCs w:val="0"/>
                <w:color w:val="000000"/>
                <w:kern w:val="0"/>
                <w:sz w:val="22"/>
                <w:szCs w:val="22"/>
                <w:highlight w:val="none"/>
                <w:u w:val="none"/>
                <w:lang w:val="en-US" w:eastAsia="zh-CN" w:bidi="ar"/>
              </w:rPr>
              <w:br w:type="textWrapping"/>
            </w:r>
            <w:r>
              <w:rPr>
                <w:rStyle w:val="67"/>
                <w:rFonts w:hint="eastAsia" w:ascii="宋体" w:hAnsi="宋体" w:eastAsia="宋体" w:cs="宋体"/>
                <w:sz w:val="22"/>
                <w:highlight w:val="none"/>
                <w:lang w:val="en-US" w:eastAsia="zh-CN" w:bidi="ar"/>
              </w:rPr>
              <w:t>含型材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42B3">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米</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E728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180</w:t>
            </w:r>
          </w:p>
        </w:tc>
      </w:tr>
      <w:tr w14:paraId="0C700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543"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255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E0F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电源</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16B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1.名称:防雨防尘电源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2.型号规格:DC24V400W</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3.包含防雨电源系统所有元器件、接线端子等</w:t>
            </w:r>
            <w:r>
              <w:rPr>
                <w:rFonts w:hint="eastAsia" w:ascii="宋体" w:hAnsi="宋体" w:eastAsia="宋体" w:cs="宋体"/>
                <w:i w:val="0"/>
                <w:iCs w:val="0"/>
                <w:color w:val="000000"/>
                <w:kern w:val="0"/>
                <w:sz w:val="22"/>
                <w:szCs w:val="22"/>
                <w:highlight w:val="none"/>
                <w:u w:val="none"/>
                <w:lang w:val="en-US" w:eastAsia="zh-CN" w:bidi="ar"/>
              </w:rPr>
              <w:br w:type="textWrapping"/>
            </w:r>
            <w:r>
              <w:rPr>
                <w:rStyle w:val="67"/>
                <w:rFonts w:hint="eastAsia" w:ascii="宋体" w:hAnsi="宋体" w:eastAsia="宋体" w:cs="宋体"/>
                <w:sz w:val="22"/>
                <w:highlight w:val="none"/>
                <w:lang w:val="en-US" w:eastAsia="zh-CN" w:bidi="ar"/>
              </w:rPr>
              <w:t>4.含安装，高空作业</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D8C1">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套</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2E1A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r>
      <w:tr w14:paraId="4415B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2775"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962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E8B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台阶灯</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D28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灯体尺寸:直径68*高45mm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开孔尺寸:直径50*高45mm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功率:3W电压:AC220V</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防护等级:IP65</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色温:暖光/3000K</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灯体颜色:黑色外壳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控制方式:开关控制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灯体材质:铝材外壳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备注：侧面发光，防刺眼（含</w:t>
            </w:r>
            <w:r>
              <w:rPr>
                <w:rStyle w:val="67"/>
                <w:rFonts w:hint="eastAsia" w:ascii="宋体" w:hAnsi="宋体" w:eastAsia="宋体" w:cs="宋体"/>
                <w:sz w:val="22"/>
                <w:highlight w:val="none"/>
                <w:lang w:val="en-US" w:eastAsia="zh-CN" w:bidi="ar"/>
              </w:rPr>
              <w:t>拆除</w:t>
            </w:r>
            <w:r>
              <w:rPr>
                <w:rFonts w:hint="eastAsia" w:ascii="宋体" w:hAnsi="宋体" w:eastAsia="宋体" w:cs="宋体"/>
                <w:i w:val="0"/>
                <w:iCs w:val="0"/>
                <w:color w:val="000000"/>
                <w:kern w:val="0"/>
                <w:sz w:val="22"/>
                <w:szCs w:val="22"/>
                <w:highlight w:val="none"/>
                <w:u w:val="none"/>
                <w:lang w:val="en-US" w:eastAsia="zh-CN" w:bidi="ar"/>
              </w:rPr>
              <w:t>安装）</w:t>
            </w:r>
            <w:r>
              <w:rPr>
                <w:rStyle w:val="67"/>
                <w:rFonts w:hint="eastAsia" w:ascii="宋体" w:hAnsi="宋体" w:eastAsia="宋体" w:cs="宋体"/>
                <w:sz w:val="22"/>
                <w:highlight w:val="none"/>
                <w:lang w:val="en-US" w:eastAsia="zh-CN" w:bidi="ar"/>
              </w:rPr>
              <w:t>镶嵌式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5018">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套</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9EB9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170</w:t>
            </w:r>
          </w:p>
        </w:tc>
      </w:tr>
      <w:tr w14:paraId="7B83D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209"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806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431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投光灯拆除、安装费</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12F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高空施工约12米，施工人员通过高空维修步道到达指定位置，保护性拆除旧灯，通过绳具吊装方式通过孔洞从地面吊至安装位置</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4E4B">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套</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00A3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140</w:t>
            </w:r>
          </w:p>
        </w:tc>
      </w:tr>
      <w:tr w14:paraId="2695A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203"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5A5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5118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灯带拆除、安装费</w:t>
            </w:r>
          </w:p>
        </w:tc>
        <w:tc>
          <w:tcPr>
            <w:tcW w:w="6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6E3A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高空施工约12米 旧灯带拆除，铝型材灯槽安装，新塑料基材LED灯带竖直固定安装</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4897">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米</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4991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180</w:t>
            </w:r>
          </w:p>
        </w:tc>
      </w:tr>
      <w:tr w14:paraId="4C1A0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244"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252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832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装饰软包墙布清洗</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C65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高空施工预估11米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纺织品装饰墙布，泡沫清洗剂干洗</w:t>
            </w:r>
            <w:r>
              <w:rPr>
                <w:rStyle w:val="67"/>
                <w:rFonts w:hint="eastAsia" w:ascii="宋体" w:hAnsi="宋体" w:eastAsia="宋体" w:cs="宋体"/>
                <w:sz w:val="22"/>
                <w:highlight w:val="none"/>
                <w:lang w:val="en-US" w:eastAsia="zh-CN" w:bidi="ar"/>
              </w:rPr>
              <w:t>（两侧墙体，高空作业，不在同一个作业面）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0B54">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m2</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2160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220</w:t>
            </w:r>
          </w:p>
        </w:tc>
      </w:tr>
      <w:tr w14:paraId="0DB44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252"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D71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F75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搭建、拆除脚手架</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BF0C">
            <w:pPr>
              <w:keepNext w:val="0"/>
              <w:keepLines w:val="0"/>
              <w:widowControl/>
              <w:suppressLineNumbers w:val="0"/>
              <w:snapToGrid w:val="0"/>
              <w:jc w:val="left"/>
              <w:textAlignment w:val="center"/>
              <w:rPr>
                <w:rFonts w:hint="eastAsia" w:ascii="宋体" w:hAnsi="宋体" w:eastAsia="宋体" w:cs="宋体"/>
                <w:i w:val="0"/>
                <w:iCs w:val="0"/>
                <w:color w:val="FF0000"/>
                <w:sz w:val="22"/>
                <w:szCs w:val="22"/>
                <w:highlight w:val="none"/>
                <w:u w:val="none"/>
              </w:rPr>
            </w:pPr>
            <w:r>
              <w:rPr>
                <w:rFonts w:hint="eastAsia" w:ascii="宋体" w:hAnsi="宋体" w:eastAsia="宋体" w:cs="宋体"/>
                <w:i w:val="0"/>
                <w:iCs w:val="0"/>
                <w:color w:val="FF0000"/>
                <w:kern w:val="0"/>
                <w:sz w:val="22"/>
                <w:szCs w:val="22"/>
                <w:highlight w:val="none"/>
                <w:u w:val="none"/>
                <w:lang w:val="en-US" w:eastAsia="zh-CN" w:bidi="ar"/>
              </w:rPr>
              <w:t>满堂脚手架，脚手架高度12m，地面为台阶，不在同一平面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92A3">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m2</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6B0D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495</w:t>
            </w:r>
          </w:p>
        </w:tc>
      </w:tr>
      <w:tr w14:paraId="4BDF3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374"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FD6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F3F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现场成品保护措施</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E05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木地板地面及座椅保护，面积100m</w:t>
            </w:r>
            <w:r>
              <w:rPr>
                <w:rStyle w:val="68"/>
                <w:rFonts w:hint="eastAsia" w:ascii="宋体" w:hAnsi="宋体" w:eastAsia="宋体" w:cs="宋体"/>
                <w:sz w:val="22"/>
                <w:highlight w:val="none"/>
                <w:lang w:val="en-US" w:eastAsia="zh-CN" w:bidi="ar"/>
              </w:rPr>
              <w:t>²</w:t>
            </w: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采用加厚防磨损地毯。</w:t>
            </w:r>
            <w:r>
              <w:rPr>
                <w:rStyle w:val="67"/>
                <w:rFonts w:hint="eastAsia" w:ascii="宋体" w:hAnsi="宋体" w:eastAsia="宋体" w:cs="宋体"/>
                <w:sz w:val="22"/>
                <w:highlight w:val="none"/>
                <w:lang w:val="en-US" w:eastAsia="zh-CN" w:bidi="ar"/>
              </w:rPr>
              <w:t>现场主要为固定位置座椅，且为斜面，保护难度大。</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E8BE">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1950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28468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7090"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E68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6B2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音频矩阵处理器</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C40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1、采样频率 内部 48kHz/44.1kHz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2、信号延时 1.9 msec (AD-DA @48kHz)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3、总谐波失真 “0.05%（+4dBu，增益：-6dB，48kHz）0.1%（+4dBu，增益：+66dB, 48kHz）” （由18dB/八度音阶滤波器@80kHz测得。）</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4、频率响应 20Hz 至 20kHz，最大：+0.5dB，最小：-1.5dB</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5、动态范围 107dB（增益：-6dB）</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6、串扰 -100dB (@1kHz)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7、电源要求 AC100V-240V 50Hz/60Hz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8、幻象电源 = +48V</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9、模拟INPUT  +66dB 10kΩ 50-600Ω 话筒 -62dBu(0.616mV) -42dBu(6.16mV) Euroblock(5.08mm针间距) 平衡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10、模拟OUTPUT 75Ω 10kΩ线路 +4dBu(1.23V) +24dBu(12.3V) Euroblock(5.08mm pitch) 平衡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11、数字YDIF In YDIF RS-422 16IN RJ45</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12、数字YDIF Out YDIF RS-422 16OUT RJ45</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主/次 Dante 1000BASE-T 64IN/64OUT RJ45</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13、控制I/OGPI 16IN / 8OUT IN 0V-5V (IN 16 L(0V-2.5V) / H(2.5V-24V)) Euroblock  OUT 开路集电+V DC5V</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REMOTE RS-232C（波特率：38.4kbps或115.2kbps) D-sub 9针（公头）</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DCP - RJ-45</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14、Dugan自动混音。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15、内置Dante连接功能。</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2D37">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套</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CF5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27BBE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1427"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7C1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423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机架接口箱</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00E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1、16路Mic/Line 输入和8路Line输出+48V DC（幻像电源）应用至INPUT XLR类接口</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2、采样率 外部 44.1 kHz、48 kHz、88.2 kHz、96 kHz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3、信号延迟 低于1.3ms INPUT到OUTPUT，与DM3相连，Dante接收延迟设置为0.25ms（单程），Fs=96 kHz/低于2.6ms INPUT到OUTPUT，与DM3相连，Dante接收延迟设置为0.25ms（单程），Fs=48 kHz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4、总谐波失真 低于0.2% +4 dBu@20Hz-20kHz 到600Ω，增益=+66 dB /低于0.05% +4 dBU@20Hz-20kHz 到600Ω，增益=-6 dB，INPUT到OUTPUT，Fs=88.2 kHz、96 kHz/低于0.1% +4 dBu@20Hz-20kHz 到600Ω，增益=+66 dB/低于0.05% +4 dBu@20Hz-20kHz 到600Ω，增益=-6 dB，INPUT到OUTPUT，Fs=44.1 kHz、48 kHz*使用-18 dB/倍频程滤波器@80 kHz测量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5、频率响应 +0.5，-1.5 dB 20Hz-20kHz， 参考标称输出水平@1 kHz，INPUT到OUTPUT</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6、动态范围 108 dB，INPUT到OUTPUT，增益=-6 dB/110 dB，DA转换，Fs=96 kHz/108 dB，INPUT到OUTPUT，增益=-6 dB/112 dB，DA转换，Fs=48 kHz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7、哼声和噪音等级 等效输入噪音 -128dBu，增益=+66 dB，Fs=96 kHz、48 kHz* 使用A-加权滤波器测量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残余输出噪音 -86 dBu, Fs 96kHz / -88 dBu, Fs 48kHz, ST main off *Measured with A-weighting filter</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8、串扰 -100 dB，相邻输入/输出通道，输入增益=-6 dB *使用-30 dB/倍频程滤波器@22 kHz测量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9、模拟INPUT 1-16 +66 dB 7.5kΩ 50-600Ω麦克风和600Ω线路 -82 dBu (61.6μV) -62 dBu (0.616mV) -42 dBu (6.16mV) 耳机/麦克风插孔（XLR-3-31类*2或TRS耳机*3） 平衡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10、模拟OUTPUT 1-8 75Ω 600Ω线路 +4 dBu (1.23V) +24 dBu (12.3V) XLR-3-32类*1 平衡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11、数字主/次 Dante 24bit或32bit 1000Base-T 16ch至其他设备</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8ch（其他设备至Tio1608-D2） etherCON Cat5e</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768C">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台</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457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17056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984"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D76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3D6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双头电容会议传声器</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110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1、音头：20mm镀金电容音头</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2、指向性：超心型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3、响应：20-20,000Hz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4、灵敏度：-30dB，31.6mV/Pa(0dB=1V/Pa@1kHz)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5、输出阻抗：≤200Ω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6、最大声压级：130dB(1%T.H.D.@1kHz)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7、等效噪声级：≤18dB  A计权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8、信噪比：≥76dB  A计权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9、幻象供电：48V DC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10、输出方式：三针卡侬插头，配3m话筒输出线</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11、金属底座、方形外壳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12、开关：有</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E6F17">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支</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BE14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261E2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777"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5D6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FB0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单头电容会议传声器</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FF9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1、音头：20mm镀金电容音头</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2、指向性：超心型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3、响应：20-20,000Hz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4、灵敏度：-30dB，31.6mV/Pa(0dB=1V/Pa@1kHz)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5、输出阻抗：≤200Ω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6、最大声压级：130dB(1%T.H.D.@1kHz)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7、等效噪声级：≤18dB  A计权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8、信噪比：≥76dB  A计权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9、幻象供电：48V DC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10、输出方式：三针卡侬插头，配2m话筒输出线</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11、金属底座、方形外壳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12、开关：有</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E8CB4">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支</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C2B1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r>
      <w:tr w14:paraId="6EF7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194"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664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DDA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音频矩阵</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综合软件操作系统</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4F4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音频矩阵处理器配套控制软件，根据需求进行编程处理，可在电脑上综合管理控制自动混音音量、播放等功能</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F71D">
            <w:pPr>
              <w:keepNext w:val="0"/>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套</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A6B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1B586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2704"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B38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FA8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DANTE网络交换机</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648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1、多通道96 kHz数据的远距离传输</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2、可用端口：8 LAN端口和2 SFP插槽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3、内置RADIUS服务器实现优化的安全管理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4、支持Yamaha LAN Monito</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5、接口类型 RJ-45</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6、SFP端口  IEEE 802.3z (1000BASE-SX/ 1000BASE-LX)</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7、电源电压，频率 AC100 – 240V, 50/60 Hz</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8822">
            <w:pPr>
              <w:keepNext w:val="0"/>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台</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CBE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0D034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058"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5D9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682E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8芯音频信号缆</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97C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1、导体数 进口线缆8组</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2、导体  无氧铜</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3、线芯直流电阻 10.7欧/100m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4、绝缘体护套 聚氯乙烯</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5、绝缘电压 500v AC/min</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6、铝箔屏蔽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7、铝合金缆盒</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8、底座 进口卡侬公/母座</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9、插头  进口卡侬公头</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10、总长 20米</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29768">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条</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6D01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r>
      <w:tr w14:paraId="066C6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12C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B34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音频线</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B2C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1、长度 3m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2、镀金公母卡侬头</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3、进口屏蔽信号线</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DDB80">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条</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BA2D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r>
      <w:tr w14:paraId="49671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030"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3E6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7F3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音频线</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8D0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1、长度 5m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2、镀金公母卡侬头</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3、进口屏蔽信号线</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F97E7">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条</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2389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09198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083"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389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308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音频线</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791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1、长度 8m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2、镀金公母卡侬头</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3、进口屏蔽信号线</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423C1">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条</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BD70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r>
      <w:tr w14:paraId="44727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631"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038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D3A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设备箱</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746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1、箱体材质  PE</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2、容量 6U</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3、深 520mm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4、锁扣五金 铝合金</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5、手把 有</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636B2">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B4B2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76459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2529"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E89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67B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pdu设备箱插座</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FBF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1、孔位 8位</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2、插孔类型 10A</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3、输入电线 3*1.5mm²</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4、2P空气开关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5、外壳材质  铝合金</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6、内部结构 铜排连接</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7、额定电流 10A</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8、额定功率 2500W</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9AB11">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678C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18288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2231"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9D5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11F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传声器收纳航空箱</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2E6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1、箱体板材 防火板</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2、尺寸 120cm*60cm*60cm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3、铝合金包边</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4、车轮板 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5、车轮 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6、手把 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7、配套话筒尺寸定制防震棉雕刻异形收纳格</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F7183">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6813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bookmarkEnd w:id="1133"/>
      <w:bookmarkEnd w:id="1134"/>
    </w:tbl>
    <w:p w14:paraId="099F4A0A">
      <w:pPr>
        <w:keepNext w:val="0"/>
        <w:keepLines w:val="0"/>
        <w:pageBreakBefore w:val="0"/>
        <w:widowControl w:val="0"/>
        <w:kinsoku/>
        <w:wordWrap/>
        <w:overflowPunct/>
        <w:topLinePunct w:val="0"/>
        <w:autoSpaceDE/>
        <w:autoSpaceDN/>
        <w:bidi w:val="0"/>
        <w:adjustRightInd/>
        <w:snapToGrid/>
        <w:spacing w:line="360" w:lineRule="auto"/>
        <w:contextualSpacing/>
        <w:jc w:val="left"/>
        <w:textAlignment w:val="auto"/>
        <w:outlineLvl w:val="0"/>
        <w:rPr>
          <w:rFonts w:hint="eastAsia" w:ascii="宋体" w:hAnsi="宋体" w:eastAsia="宋体" w:cs="宋体"/>
          <w:b/>
          <w:bCs/>
          <w:color w:val="auto"/>
          <w:sz w:val="28"/>
          <w:szCs w:val="32"/>
          <w:highlight w:val="none"/>
          <w:lang w:val="en-US" w:eastAsia="zh-CN"/>
        </w:rPr>
      </w:pPr>
      <w:bookmarkStart w:id="1138" w:name="_Toc32172"/>
    </w:p>
    <w:p w14:paraId="14737E58">
      <w:pPr>
        <w:keepNext w:val="0"/>
        <w:keepLines w:val="0"/>
        <w:pageBreakBefore w:val="0"/>
        <w:widowControl w:val="0"/>
        <w:kinsoku/>
        <w:wordWrap/>
        <w:overflowPunct/>
        <w:topLinePunct w:val="0"/>
        <w:autoSpaceDE/>
        <w:autoSpaceDN/>
        <w:bidi w:val="0"/>
        <w:adjustRightInd/>
        <w:snapToGrid/>
        <w:spacing w:line="360" w:lineRule="auto"/>
        <w:contextualSpacing/>
        <w:jc w:val="left"/>
        <w:textAlignment w:val="auto"/>
        <w:outlineLvl w:val="0"/>
        <w:rPr>
          <w:rFonts w:hint="eastAsia" w:ascii="宋体" w:hAnsi="宋体" w:eastAsia="宋体" w:cs="宋体"/>
          <w:b/>
          <w:bCs/>
          <w:color w:val="auto"/>
          <w:sz w:val="28"/>
          <w:szCs w:val="32"/>
          <w:highlight w:val="none"/>
          <w:lang w:val="en-US" w:eastAsia="zh-CN"/>
        </w:rPr>
      </w:pPr>
      <w:r>
        <w:rPr>
          <w:rFonts w:hint="eastAsia" w:ascii="宋体" w:hAnsi="宋体" w:eastAsia="宋体" w:cs="宋体"/>
          <w:b/>
          <w:bCs/>
          <w:color w:val="auto"/>
          <w:sz w:val="28"/>
          <w:szCs w:val="32"/>
          <w:highlight w:val="none"/>
          <w:lang w:val="en-US" w:eastAsia="zh-CN"/>
        </w:rPr>
        <w:t>二标段：</w:t>
      </w:r>
    </w:p>
    <w:tbl>
      <w:tblPr>
        <w:tblStyle w:val="23"/>
        <w:tblW w:w="99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898"/>
        <w:gridCol w:w="1770"/>
        <w:gridCol w:w="4271"/>
        <w:gridCol w:w="1500"/>
        <w:gridCol w:w="1560"/>
      </w:tblGrid>
      <w:tr w14:paraId="3D272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855" w:hRule="atLeast"/>
          <w:tblHeader/>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49A2">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F1B5">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名称</w:t>
            </w:r>
          </w:p>
        </w:tc>
        <w:tc>
          <w:tcPr>
            <w:tcW w:w="4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5ABE">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项目特征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1FB1">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单位</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F24B">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数量</w:t>
            </w:r>
          </w:p>
        </w:tc>
      </w:tr>
      <w:tr w14:paraId="23623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2080"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C1C6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2A7F">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定制红木桌子</w:t>
            </w:r>
          </w:p>
        </w:tc>
        <w:tc>
          <w:tcPr>
            <w:tcW w:w="4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4729">
            <w:pPr>
              <w:keepNext w:val="0"/>
              <w:keepLines w:val="0"/>
              <w:widowControl/>
              <w:suppressLineNumbers w:val="0"/>
              <w:snapToGrid w:val="0"/>
              <w:jc w:val="left"/>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 xml:space="preserve">1、面材：采用优质胡桃木木皮饰面 ， 2、基材：E1级高密度板，优质绿色环保产品 3、油漆：采用优质环保油漆，附着力强、流平性高，涂层亮度均匀不褪色，色泽柔和，手感良好，符合国际环保要求；4、五金配件：优质五金连接配件  规格：1400*600*760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6179C">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张</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DE05F">
            <w:pPr>
              <w:keepNext w:val="0"/>
              <w:keepLines w:val="0"/>
              <w:widowControl/>
              <w:suppressLineNumbers w:val="0"/>
              <w:snapToGrid w:val="0"/>
              <w:jc w:val="center"/>
              <w:textAlignment w:val="center"/>
              <w:rPr>
                <w:rFonts w:hint="eastAsia" w:ascii="宋体" w:hAnsi="宋体" w:eastAsia="宋体" w:cs="宋体"/>
                <w:i w:val="0"/>
                <w:iCs w:val="0"/>
                <w:color w:val="000000"/>
                <w:sz w:val="22"/>
                <w:szCs w:val="28"/>
                <w:highlight w:val="none"/>
                <w:u w:val="none"/>
              </w:rPr>
            </w:pPr>
            <w:r>
              <w:rPr>
                <w:rFonts w:hint="eastAsia" w:ascii="宋体" w:hAnsi="宋体" w:eastAsia="宋体" w:cs="宋体"/>
                <w:i w:val="0"/>
                <w:iCs w:val="0"/>
                <w:color w:val="000000"/>
                <w:kern w:val="0"/>
                <w:sz w:val="22"/>
                <w:szCs w:val="28"/>
                <w:highlight w:val="none"/>
                <w:u w:val="none"/>
                <w:lang w:val="en-US" w:eastAsia="zh-CN" w:bidi="ar"/>
              </w:rPr>
              <w:t>60</w:t>
            </w:r>
          </w:p>
        </w:tc>
      </w:tr>
      <w:tr w14:paraId="2E14F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2214"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EC6A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9561">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定制红木桌子</w:t>
            </w:r>
          </w:p>
        </w:tc>
        <w:tc>
          <w:tcPr>
            <w:tcW w:w="4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0C8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1、面材：采用优质胡桃木木皮饰面 ， 2、基材：E1级高密度板，优质绿色环保产品 3、油漆：采用优质环保油漆，附着力强、流平性高，涂层亮度均匀不褪色，色泽柔和，手感良好，符合国际环保要求；4、五金配件：优质五金连接配件 规格： 2100*600*760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49556">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张</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037EF">
            <w:pPr>
              <w:keepNext w:val="0"/>
              <w:keepLines w:val="0"/>
              <w:widowControl/>
              <w:suppressLineNumbers w:val="0"/>
              <w:snapToGrid w:val="0"/>
              <w:jc w:val="center"/>
              <w:textAlignment w:val="center"/>
              <w:rPr>
                <w:rFonts w:hint="eastAsia" w:ascii="宋体" w:hAnsi="宋体" w:eastAsia="宋体" w:cs="宋体"/>
                <w:i w:val="0"/>
                <w:iCs w:val="0"/>
                <w:color w:val="000000"/>
                <w:sz w:val="22"/>
                <w:szCs w:val="28"/>
                <w:highlight w:val="none"/>
                <w:u w:val="none"/>
              </w:rPr>
            </w:pPr>
            <w:r>
              <w:rPr>
                <w:rFonts w:hint="eastAsia" w:ascii="宋体" w:hAnsi="宋体" w:eastAsia="宋体" w:cs="宋体"/>
                <w:i w:val="0"/>
                <w:iCs w:val="0"/>
                <w:color w:val="000000"/>
                <w:kern w:val="0"/>
                <w:sz w:val="22"/>
                <w:szCs w:val="28"/>
                <w:highlight w:val="none"/>
                <w:u w:val="none"/>
                <w:lang w:val="en-US" w:eastAsia="zh-CN" w:bidi="ar"/>
              </w:rPr>
              <w:t>10</w:t>
            </w:r>
          </w:p>
        </w:tc>
      </w:tr>
      <w:tr w14:paraId="78CE3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2190"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4BCE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BD77">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定制红木报告席</w:t>
            </w:r>
          </w:p>
        </w:tc>
        <w:tc>
          <w:tcPr>
            <w:tcW w:w="4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228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1、面材：采用优质胡桃木木皮饰面 ， 2、基材：E1级高密度板，优质绿色环保产品 3、油漆：采用优质环保油漆，附着力强、流平性高，涂层亮度均匀不褪色，色泽柔和，手感良好，符合国际环保要求；4、五金配件：优质五金连接配件 规格：800*530*1130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CFFC">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张</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3DE25">
            <w:pPr>
              <w:keepNext w:val="0"/>
              <w:keepLines w:val="0"/>
              <w:widowControl/>
              <w:suppressLineNumbers w:val="0"/>
              <w:snapToGrid w:val="0"/>
              <w:jc w:val="center"/>
              <w:textAlignment w:val="center"/>
              <w:rPr>
                <w:rFonts w:hint="eastAsia" w:ascii="宋体" w:hAnsi="宋体" w:eastAsia="宋体" w:cs="宋体"/>
                <w:i w:val="0"/>
                <w:iCs w:val="0"/>
                <w:color w:val="000000"/>
                <w:sz w:val="22"/>
                <w:szCs w:val="28"/>
                <w:highlight w:val="none"/>
                <w:u w:val="none"/>
              </w:rPr>
            </w:pPr>
            <w:r>
              <w:rPr>
                <w:rFonts w:hint="eastAsia" w:ascii="宋体" w:hAnsi="宋体" w:eastAsia="宋体" w:cs="宋体"/>
                <w:i w:val="0"/>
                <w:iCs w:val="0"/>
                <w:color w:val="000000"/>
                <w:kern w:val="0"/>
                <w:sz w:val="22"/>
                <w:szCs w:val="28"/>
                <w:highlight w:val="none"/>
                <w:u w:val="none"/>
                <w:lang w:val="en-US" w:eastAsia="zh-CN" w:bidi="ar"/>
              </w:rPr>
              <w:t>1</w:t>
            </w:r>
          </w:p>
        </w:tc>
      </w:tr>
      <w:tr w14:paraId="1A400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243"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BB45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7583">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不带字白瓷杯</w:t>
            </w:r>
          </w:p>
        </w:tc>
        <w:tc>
          <w:tcPr>
            <w:tcW w:w="4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9A9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1.杯子材质：高温玉白瓷</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2.容量300毫升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3.定制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F1102">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个</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37E23">
            <w:pPr>
              <w:keepNext w:val="0"/>
              <w:keepLines w:val="0"/>
              <w:widowControl/>
              <w:suppressLineNumbers w:val="0"/>
              <w:snapToGrid w:val="0"/>
              <w:jc w:val="center"/>
              <w:textAlignment w:val="center"/>
              <w:rPr>
                <w:rFonts w:hint="eastAsia" w:ascii="宋体" w:hAnsi="宋体" w:eastAsia="宋体" w:cs="宋体"/>
                <w:i w:val="0"/>
                <w:iCs w:val="0"/>
                <w:color w:val="000000"/>
                <w:sz w:val="22"/>
                <w:szCs w:val="28"/>
                <w:highlight w:val="none"/>
                <w:u w:val="none"/>
              </w:rPr>
            </w:pPr>
            <w:r>
              <w:rPr>
                <w:rFonts w:hint="eastAsia" w:ascii="宋体" w:hAnsi="宋体" w:eastAsia="宋体" w:cs="宋体"/>
                <w:i w:val="0"/>
                <w:iCs w:val="0"/>
                <w:color w:val="000000"/>
                <w:kern w:val="0"/>
                <w:sz w:val="22"/>
                <w:szCs w:val="28"/>
                <w:highlight w:val="none"/>
                <w:u w:val="none"/>
                <w:lang w:val="en-US" w:eastAsia="zh-CN" w:bidi="ar"/>
              </w:rPr>
              <w:t>200</w:t>
            </w:r>
          </w:p>
        </w:tc>
      </w:tr>
      <w:tr w14:paraId="6B24C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243"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7720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FAB2">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带字白瓷杯</w:t>
            </w:r>
          </w:p>
        </w:tc>
        <w:tc>
          <w:tcPr>
            <w:tcW w:w="4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154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1.杯子材质：高温玉白瓷</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2.容量300毫升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3.定制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735D9">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 xml:space="preserve">个 </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FAD0E">
            <w:pPr>
              <w:keepNext w:val="0"/>
              <w:keepLines w:val="0"/>
              <w:widowControl/>
              <w:suppressLineNumbers w:val="0"/>
              <w:snapToGrid w:val="0"/>
              <w:jc w:val="center"/>
              <w:textAlignment w:val="center"/>
              <w:rPr>
                <w:rFonts w:hint="eastAsia" w:ascii="宋体" w:hAnsi="宋体" w:eastAsia="宋体" w:cs="宋体"/>
                <w:i w:val="0"/>
                <w:iCs w:val="0"/>
                <w:color w:val="000000"/>
                <w:sz w:val="22"/>
                <w:szCs w:val="28"/>
                <w:highlight w:val="none"/>
                <w:u w:val="none"/>
              </w:rPr>
            </w:pPr>
            <w:r>
              <w:rPr>
                <w:rFonts w:hint="eastAsia" w:ascii="宋体" w:hAnsi="宋体" w:eastAsia="宋体" w:cs="宋体"/>
                <w:i w:val="0"/>
                <w:iCs w:val="0"/>
                <w:color w:val="000000"/>
                <w:kern w:val="0"/>
                <w:sz w:val="22"/>
                <w:szCs w:val="28"/>
                <w:highlight w:val="none"/>
                <w:u w:val="none"/>
                <w:lang w:val="en-US" w:eastAsia="zh-CN" w:bidi="ar"/>
              </w:rPr>
              <w:t>500</w:t>
            </w:r>
          </w:p>
        </w:tc>
      </w:tr>
      <w:tr w14:paraId="19C30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696"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00ED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CBDD">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墨绿色、灰色、黄色羊毛台尼</w:t>
            </w:r>
          </w:p>
        </w:tc>
        <w:tc>
          <w:tcPr>
            <w:tcW w:w="4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621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1.门幅：一般在148-150cm之间</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2.克重：范围大概在560-580g</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3.成分：面料30羊毛化纤70也可能会添加少量氨纶等其他纤维以增加弹性和柔软度。</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4.材质：布料是由纤维经过纺织编织或非织造工艺制成的柔性材料。</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5.生产工艺：机织经纬交替平纹工艺。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6.毛高：通常在0.5-1mm.6:特性：泽典雅：素色毛呢颜色通常为沉稳、低调,颜色给人一种高雅、大方的视觉感受，能展现出品味与气质。2.质地细腻，耐磨抗皱，吸湿透气。</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7.规格：1.5米</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EE32C">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m</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1CE56">
            <w:pPr>
              <w:keepNext w:val="0"/>
              <w:keepLines w:val="0"/>
              <w:widowControl/>
              <w:suppressLineNumbers w:val="0"/>
              <w:snapToGrid w:val="0"/>
              <w:jc w:val="center"/>
              <w:textAlignment w:val="center"/>
              <w:rPr>
                <w:rFonts w:hint="eastAsia" w:ascii="宋体" w:hAnsi="宋体" w:eastAsia="宋体" w:cs="宋体"/>
                <w:i w:val="0"/>
                <w:iCs w:val="0"/>
                <w:color w:val="000000"/>
                <w:sz w:val="22"/>
                <w:szCs w:val="28"/>
                <w:highlight w:val="none"/>
                <w:u w:val="none"/>
              </w:rPr>
            </w:pPr>
            <w:r>
              <w:rPr>
                <w:rFonts w:hint="eastAsia" w:ascii="宋体" w:hAnsi="宋体" w:eastAsia="宋体" w:cs="宋体"/>
                <w:i w:val="0"/>
                <w:iCs w:val="0"/>
                <w:color w:val="000000"/>
                <w:kern w:val="0"/>
                <w:sz w:val="22"/>
                <w:szCs w:val="28"/>
                <w:highlight w:val="none"/>
                <w:u w:val="none"/>
                <w:lang w:val="en-US" w:eastAsia="zh-CN" w:bidi="ar"/>
              </w:rPr>
              <w:t>800</w:t>
            </w:r>
          </w:p>
        </w:tc>
      </w:tr>
      <w:tr w14:paraId="35060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070"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6B92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7EC8">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墨绿色纬纱、黄色台群</w:t>
            </w:r>
          </w:p>
        </w:tc>
        <w:tc>
          <w:tcPr>
            <w:tcW w:w="4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ACF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1.材质：100%涤纶（聚酯纤维）</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2.工艺：采取缩呢、剪毛、煮呢再纺织工艺匹手感柔软，亲肤力好。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3.印染：活性印染技术使活性基因和纤维分子充分结合，颜色鲜艳持久不掉色。</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4.门幅：按照实际要求进行剪裁。</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5.颜色：颜色是常见使用的。</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6.产品特性：微弹、不易起皱，韧性强抗磨性好。不起球.防水抗菌。</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7.规格：0.75米*2米</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99F62">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m</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DF301">
            <w:pPr>
              <w:keepNext w:val="0"/>
              <w:keepLines w:val="0"/>
              <w:widowControl/>
              <w:suppressLineNumbers w:val="0"/>
              <w:snapToGrid w:val="0"/>
              <w:jc w:val="center"/>
              <w:textAlignment w:val="center"/>
              <w:rPr>
                <w:rFonts w:hint="eastAsia" w:ascii="宋体" w:hAnsi="宋体" w:eastAsia="宋体" w:cs="宋体"/>
                <w:i w:val="0"/>
                <w:iCs w:val="0"/>
                <w:color w:val="000000"/>
                <w:sz w:val="22"/>
                <w:szCs w:val="28"/>
                <w:highlight w:val="none"/>
                <w:u w:val="none"/>
              </w:rPr>
            </w:pPr>
            <w:r>
              <w:rPr>
                <w:rFonts w:hint="eastAsia" w:ascii="宋体" w:hAnsi="宋体" w:eastAsia="宋体" w:cs="宋体"/>
                <w:i w:val="0"/>
                <w:iCs w:val="0"/>
                <w:color w:val="000000"/>
                <w:kern w:val="0"/>
                <w:sz w:val="22"/>
                <w:szCs w:val="28"/>
                <w:highlight w:val="none"/>
                <w:u w:val="none"/>
                <w:lang w:val="en-US" w:eastAsia="zh-CN" w:bidi="ar"/>
              </w:rPr>
              <w:t>300</w:t>
            </w:r>
          </w:p>
        </w:tc>
      </w:tr>
      <w:tr w14:paraId="7C798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9949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AD32">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墨绿色纬纱签到台</w:t>
            </w:r>
          </w:p>
        </w:tc>
        <w:tc>
          <w:tcPr>
            <w:tcW w:w="4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BBE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1.材质：100%涤纶（聚酯纤维）</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2.工艺：采取缩呢、剪毛、煮呢再纺织工艺匹手感柔软，亲肤力好。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3.印染：活性印染技术使活性基因和纤维分子充分结合，颜色鲜艳持久不掉色。</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4.门幅：按照实际要求进行剪裁。</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5.颜色：颜色是常见使用的。</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6.产品特性：微弹、不易起皱，韧性强抗磨性好。不起球.防水抗菌。</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7.规格：桌子2米*0.9米（围裙一圈是5.8米，桌面是2米*0.9米）</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7442">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套</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E53A6">
            <w:pPr>
              <w:keepNext w:val="0"/>
              <w:keepLines w:val="0"/>
              <w:widowControl/>
              <w:suppressLineNumbers w:val="0"/>
              <w:snapToGrid w:val="0"/>
              <w:jc w:val="center"/>
              <w:textAlignment w:val="center"/>
              <w:rPr>
                <w:rFonts w:hint="eastAsia" w:ascii="宋体" w:hAnsi="宋体" w:eastAsia="宋体" w:cs="宋体"/>
                <w:i w:val="0"/>
                <w:iCs w:val="0"/>
                <w:color w:val="000000"/>
                <w:sz w:val="22"/>
                <w:szCs w:val="28"/>
                <w:highlight w:val="none"/>
                <w:u w:val="none"/>
              </w:rPr>
            </w:pPr>
            <w:r>
              <w:rPr>
                <w:rFonts w:hint="eastAsia" w:ascii="宋体" w:hAnsi="宋体" w:eastAsia="宋体" w:cs="宋体"/>
                <w:i w:val="0"/>
                <w:iCs w:val="0"/>
                <w:color w:val="000000"/>
                <w:kern w:val="0"/>
                <w:sz w:val="22"/>
                <w:szCs w:val="28"/>
                <w:highlight w:val="none"/>
                <w:u w:val="none"/>
                <w:lang w:val="en-US" w:eastAsia="zh-CN" w:bidi="ar"/>
              </w:rPr>
              <w:t>20</w:t>
            </w:r>
          </w:p>
        </w:tc>
      </w:tr>
      <w:tr w14:paraId="19612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2023"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D7B5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A92E">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不锈钢台夹</w:t>
            </w:r>
          </w:p>
        </w:tc>
        <w:tc>
          <w:tcPr>
            <w:tcW w:w="4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78D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不锈钢台夹的材质主要是不锈钢。不锈钢台夹通常由不锈钢材料制成，具有较高的强度和耐用性。具体来说，不锈钢台夹的主要材质是304不锈钢，这是一种广泛使用的不锈钢类型，具有良好的耐辅助性和美观性。</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2.规格：2.5-5公分</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D5BB9">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个</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799C2">
            <w:pPr>
              <w:keepNext w:val="0"/>
              <w:keepLines w:val="0"/>
              <w:widowControl/>
              <w:suppressLineNumbers w:val="0"/>
              <w:snapToGrid w:val="0"/>
              <w:jc w:val="center"/>
              <w:textAlignment w:val="center"/>
              <w:rPr>
                <w:rFonts w:hint="eastAsia" w:ascii="宋体" w:hAnsi="宋体" w:eastAsia="宋体" w:cs="宋体"/>
                <w:i w:val="0"/>
                <w:iCs w:val="0"/>
                <w:color w:val="000000"/>
                <w:sz w:val="22"/>
                <w:szCs w:val="28"/>
                <w:highlight w:val="none"/>
                <w:u w:val="none"/>
              </w:rPr>
            </w:pPr>
            <w:r>
              <w:rPr>
                <w:rFonts w:hint="eastAsia" w:ascii="宋体" w:hAnsi="宋体" w:eastAsia="宋体" w:cs="宋体"/>
                <w:i w:val="0"/>
                <w:iCs w:val="0"/>
                <w:color w:val="000000"/>
                <w:kern w:val="0"/>
                <w:sz w:val="22"/>
                <w:szCs w:val="28"/>
                <w:highlight w:val="none"/>
                <w:u w:val="none"/>
                <w:lang w:val="en-US" w:eastAsia="zh-CN" w:bidi="ar"/>
              </w:rPr>
              <w:t>600</w:t>
            </w:r>
          </w:p>
        </w:tc>
      </w:tr>
      <w:tr w14:paraId="6ECF4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2044"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8956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F54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米黄边幕</w:t>
            </w:r>
          </w:p>
        </w:tc>
        <w:tc>
          <w:tcPr>
            <w:tcW w:w="4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305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1.宽2.5米×高9.5米×3倍褶×12条   阻燃米黄澳洲羊毛绒</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2.上端10cm宽帆布包边</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3.不锈钢孔扣间距20cm带30cm棉质绑绳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4.克重：420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5.阻燃等级B1级</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18A4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m2</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A02F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855</w:t>
            </w:r>
          </w:p>
        </w:tc>
      </w:tr>
      <w:tr w14:paraId="09D7B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2014"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55C0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0B7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米黄檐幕</w:t>
            </w:r>
          </w:p>
        </w:tc>
        <w:tc>
          <w:tcPr>
            <w:tcW w:w="4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B38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1.长20米×宽3米×3倍褶×6条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2.阻燃米黄澳洲羊毛绒</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3.上端10cm宽帆布包边</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4.不锈钢孔扣间距20cm带30cm棉质绑绳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5.克重：420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6.阻燃等级B1级3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FD21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m2</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15B1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1080</w:t>
            </w:r>
          </w:p>
        </w:tc>
      </w:tr>
      <w:tr w14:paraId="08F73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939"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48BD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630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黑色边幕</w:t>
            </w:r>
          </w:p>
        </w:tc>
        <w:tc>
          <w:tcPr>
            <w:tcW w:w="4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CBC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1.宽2.5米×高9.5米×3倍褶×2条     阻燃黑色澳洲羊毛绒</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2.上端10cm宽帆布包边</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3.不锈钢孔扣间距20cm带30cm棉质绑绳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4.克重：420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5.阻燃等级B1级</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FA9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m2</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2CF5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142.5</w:t>
            </w:r>
          </w:p>
        </w:tc>
      </w:tr>
      <w:tr w14:paraId="20C18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885"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9509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7A8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黑色檐幕</w:t>
            </w:r>
          </w:p>
        </w:tc>
        <w:tc>
          <w:tcPr>
            <w:tcW w:w="4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29ED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1.长20米×宽3米×3倍褶×1条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2.阻燃黑色澳洲羊毛绒</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3.上端10cm宽帆布包边</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4.不锈钢孔扣间距20cm带30cm棉质绑绳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5.克重：420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6.阻燃等级B1级</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9E0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m2</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1D0F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180</w:t>
            </w:r>
          </w:p>
        </w:tc>
      </w:tr>
      <w:tr w14:paraId="04DD0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2852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1B6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米黄底幕</w:t>
            </w:r>
          </w:p>
        </w:tc>
        <w:tc>
          <w:tcPr>
            <w:tcW w:w="4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070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1.长20米×高9.5米×3倍×1条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2.阻燃米黄澳洲羊毛绒</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3.上端10cm宽帆布包边</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4.不锈钢孔扣间距20cm带30cm棉质绑绳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5.克重：420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6.阻燃等级B1级</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721A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m2</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24B6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570</w:t>
            </w:r>
          </w:p>
        </w:tc>
      </w:tr>
    </w:tbl>
    <w:p w14:paraId="581F1175">
      <w:pPr>
        <w:keepNext w:val="0"/>
        <w:keepLines w:val="0"/>
        <w:pageBreakBefore w:val="0"/>
        <w:widowControl w:val="0"/>
        <w:kinsoku/>
        <w:wordWrap/>
        <w:overflowPunct/>
        <w:topLinePunct w:val="0"/>
        <w:autoSpaceDE/>
        <w:autoSpaceDN/>
        <w:bidi w:val="0"/>
        <w:adjustRightInd/>
        <w:snapToGrid/>
        <w:spacing w:line="360" w:lineRule="auto"/>
        <w:contextualSpacing/>
        <w:jc w:val="both"/>
        <w:textAlignment w:val="auto"/>
        <w:outlineLvl w:val="9"/>
        <w:rPr>
          <w:rFonts w:hint="eastAsia"/>
          <w:b/>
          <w:bCs/>
          <w:color w:val="auto"/>
          <w:sz w:val="36"/>
          <w:szCs w:val="40"/>
          <w:highlight w:val="none"/>
          <w:lang w:eastAsia="zh-CN"/>
        </w:rPr>
      </w:pPr>
      <w:r>
        <w:rPr>
          <w:rFonts w:hint="eastAsia" w:ascii="宋体" w:hAnsi="宋体" w:eastAsia="宋体" w:cs="宋体"/>
          <w:i w:val="0"/>
          <w:iCs w:val="0"/>
          <w:color w:val="000000"/>
          <w:kern w:val="0"/>
          <w:sz w:val="24"/>
          <w:szCs w:val="24"/>
          <w:highlight w:val="none"/>
          <w:u w:val="none"/>
          <w:lang w:val="en-US" w:eastAsia="zh-CN" w:bidi="ar"/>
        </w:rPr>
        <w:t>备注：含运费、卸货、安装调试、维保、含税金。</w:t>
      </w:r>
      <w:bookmarkEnd w:id="1138"/>
      <w:bookmarkStart w:id="1139" w:name="_Toc3651"/>
      <w:bookmarkStart w:id="1140" w:name="_Toc5612"/>
      <w:bookmarkStart w:id="1141" w:name="_Toc12926"/>
    </w:p>
    <w:p w14:paraId="64F28E76">
      <w:pPr>
        <w:pStyle w:val="65"/>
        <w:jc w:val="center"/>
        <w:rPr>
          <w:rFonts w:hint="eastAsia"/>
          <w:b/>
          <w:bCs/>
          <w:color w:val="auto"/>
          <w:sz w:val="36"/>
          <w:szCs w:val="40"/>
          <w:highlight w:val="none"/>
          <w:lang w:eastAsia="zh-CN"/>
        </w:rPr>
      </w:pPr>
    </w:p>
    <w:p w14:paraId="168B9D09">
      <w:pPr>
        <w:pStyle w:val="65"/>
        <w:jc w:val="center"/>
        <w:rPr>
          <w:rFonts w:hint="eastAsia"/>
          <w:b/>
          <w:bCs/>
          <w:color w:val="auto"/>
          <w:sz w:val="36"/>
          <w:szCs w:val="40"/>
          <w:highlight w:val="none"/>
          <w:lang w:eastAsia="zh-CN"/>
        </w:rPr>
      </w:pPr>
    </w:p>
    <w:p w14:paraId="0980CDCD">
      <w:pPr>
        <w:pStyle w:val="65"/>
        <w:jc w:val="center"/>
        <w:rPr>
          <w:rFonts w:hint="eastAsia"/>
          <w:b/>
          <w:bCs/>
          <w:color w:val="auto"/>
          <w:sz w:val="36"/>
          <w:szCs w:val="40"/>
          <w:highlight w:val="none"/>
          <w:lang w:eastAsia="zh-CN"/>
        </w:rPr>
      </w:pPr>
    </w:p>
    <w:p w14:paraId="684A9780">
      <w:pPr>
        <w:pStyle w:val="65"/>
        <w:ind w:left="0" w:leftChars="0" w:firstLine="0" w:firstLineChars="0"/>
        <w:jc w:val="both"/>
        <w:rPr>
          <w:rFonts w:hint="eastAsia"/>
          <w:b/>
          <w:bCs/>
          <w:color w:val="auto"/>
          <w:sz w:val="36"/>
          <w:szCs w:val="40"/>
          <w:highlight w:val="none"/>
          <w:lang w:eastAsia="zh-CN"/>
        </w:rPr>
      </w:pPr>
    </w:p>
    <w:p w14:paraId="337F82A0">
      <w:pPr>
        <w:pStyle w:val="65"/>
        <w:jc w:val="center"/>
        <w:rPr>
          <w:rFonts w:hint="eastAsia"/>
          <w:b/>
          <w:bCs/>
          <w:color w:val="auto"/>
          <w:sz w:val="36"/>
          <w:szCs w:val="40"/>
          <w:highlight w:val="none"/>
          <w:lang w:eastAsia="zh-CN"/>
        </w:rPr>
      </w:pPr>
    </w:p>
    <w:p w14:paraId="34D33FB7">
      <w:pPr>
        <w:pStyle w:val="65"/>
        <w:jc w:val="center"/>
        <w:rPr>
          <w:rFonts w:hint="eastAsia" w:ascii="宋体" w:hAnsi="宋体"/>
          <w:b/>
          <w:bCs/>
          <w:sz w:val="36"/>
          <w:szCs w:val="36"/>
          <w:highlight w:val="none"/>
        </w:rPr>
      </w:pPr>
      <w:r>
        <w:rPr>
          <w:rFonts w:hint="eastAsia"/>
          <w:b/>
          <w:bCs/>
          <w:color w:val="auto"/>
          <w:sz w:val="36"/>
          <w:szCs w:val="40"/>
          <w:highlight w:val="none"/>
        </w:rPr>
        <w:t>第</w:t>
      </w:r>
      <w:r>
        <w:rPr>
          <w:rFonts w:hint="eastAsia"/>
          <w:b/>
          <w:bCs/>
          <w:color w:val="auto"/>
          <w:sz w:val="36"/>
          <w:szCs w:val="40"/>
          <w:highlight w:val="none"/>
          <w:lang w:val="en-US" w:eastAsia="zh-CN"/>
        </w:rPr>
        <w:t>九</w:t>
      </w:r>
      <w:r>
        <w:rPr>
          <w:rFonts w:hint="eastAsia"/>
          <w:b/>
          <w:bCs/>
          <w:color w:val="auto"/>
          <w:sz w:val="36"/>
          <w:szCs w:val="40"/>
          <w:highlight w:val="none"/>
        </w:rPr>
        <w:t>章  响应性文件格式</w:t>
      </w:r>
      <w:bookmarkEnd w:id="1135"/>
      <w:bookmarkEnd w:id="1139"/>
      <w:bookmarkEnd w:id="1140"/>
      <w:bookmarkEnd w:id="1141"/>
    </w:p>
    <w:p w14:paraId="7D94ECF2">
      <w:pPr>
        <w:keepNext/>
        <w:keepLines/>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ascii="宋体" w:hAnsi="宋体" w:eastAsia="宋体" w:cs="宋体"/>
          <w:b/>
          <w:color w:val="auto"/>
          <w:sz w:val="52"/>
          <w:szCs w:val="52"/>
          <w:highlight w:val="none"/>
        </w:rPr>
      </w:pPr>
    </w:p>
    <w:p w14:paraId="2F8893EF">
      <w:pPr>
        <w:pStyle w:val="65"/>
        <w:rPr>
          <w:rFonts w:hint="eastAsia" w:ascii="宋体" w:hAnsi="宋体"/>
          <w:b/>
          <w:bCs/>
          <w:sz w:val="44"/>
          <w:szCs w:val="44"/>
          <w:highlight w:val="none"/>
        </w:rPr>
      </w:pPr>
      <w:r>
        <w:rPr>
          <w:rFonts w:hint="eastAsia" w:ascii="宋体" w:hAnsi="宋体"/>
          <w:b/>
          <w:bCs/>
          <w:sz w:val="44"/>
          <w:szCs w:val="44"/>
          <w:highlight w:val="none"/>
          <w:u w:val="single"/>
        </w:rPr>
        <w:t xml:space="preserve">    </w:t>
      </w:r>
      <w:r>
        <w:rPr>
          <w:rFonts w:hint="eastAsia" w:ascii="宋体" w:hAnsi="宋体"/>
          <w:b/>
          <w:bCs/>
          <w:sz w:val="44"/>
          <w:szCs w:val="44"/>
          <w:highlight w:val="none"/>
          <w:u w:val="single"/>
          <w:lang w:val="en-US" w:eastAsia="zh-CN"/>
        </w:rPr>
        <w:t xml:space="preserve">      </w:t>
      </w:r>
      <w:r>
        <w:rPr>
          <w:rFonts w:hint="eastAsia" w:ascii="宋体" w:hAnsi="宋体"/>
          <w:b/>
          <w:bCs/>
          <w:sz w:val="44"/>
          <w:szCs w:val="44"/>
          <w:highlight w:val="none"/>
          <w:u w:val="single"/>
        </w:rPr>
        <w:t xml:space="preserve"> </w:t>
      </w:r>
      <w:r>
        <w:rPr>
          <w:rFonts w:hint="eastAsia" w:ascii="宋体" w:hAnsi="宋体"/>
          <w:b/>
          <w:bCs/>
          <w:sz w:val="44"/>
          <w:szCs w:val="44"/>
          <w:highlight w:val="none"/>
          <w:u w:val="single"/>
          <w:lang w:val="en-US" w:eastAsia="zh-CN"/>
        </w:rPr>
        <w:t xml:space="preserve">   </w:t>
      </w:r>
      <w:r>
        <w:rPr>
          <w:rFonts w:hint="eastAsia" w:ascii="宋体" w:hAnsi="宋体"/>
          <w:b/>
          <w:bCs/>
          <w:sz w:val="44"/>
          <w:szCs w:val="44"/>
          <w:highlight w:val="none"/>
          <w:u w:val="single"/>
        </w:rPr>
        <w:t xml:space="preserve">      </w:t>
      </w:r>
      <w:r>
        <w:rPr>
          <w:rFonts w:hint="eastAsia" w:ascii="宋体" w:hAnsi="宋体"/>
          <w:b/>
          <w:bCs/>
          <w:sz w:val="44"/>
          <w:szCs w:val="44"/>
          <w:highlight w:val="none"/>
        </w:rPr>
        <w:t>（项目名称</w:t>
      </w:r>
      <w:r>
        <w:rPr>
          <w:rFonts w:hint="eastAsia" w:ascii="宋体" w:hAnsi="宋体"/>
          <w:b/>
          <w:bCs/>
          <w:sz w:val="44"/>
          <w:szCs w:val="44"/>
          <w:highlight w:val="none"/>
          <w:lang w:eastAsia="zh-CN"/>
        </w:rPr>
        <w:t>、</w:t>
      </w:r>
      <w:r>
        <w:rPr>
          <w:rFonts w:hint="eastAsia" w:ascii="宋体" w:hAnsi="宋体"/>
          <w:b/>
          <w:bCs/>
          <w:sz w:val="44"/>
          <w:szCs w:val="44"/>
          <w:highlight w:val="none"/>
          <w:lang w:val="en-US" w:eastAsia="zh-CN"/>
        </w:rPr>
        <w:t>标段</w:t>
      </w:r>
      <w:r>
        <w:rPr>
          <w:rFonts w:hint="eastAsia" w:ascii="宋体" w:hAnsi="宋体"/>
          <w:b/>
          <w:bCs/>
          <w:sz w:val="44"/>
          <w:szCs w:val="44"/>
          <w:highlight w:val="none"/>
        </w:rPr>
        <w:t>）</w:t>
      </w:r>
    </w:p>
    <w:p w14:paraId="2AF938EE">
      <w:pPr>
        <w:pageBreakBefore w:val="0"/>
        <w:kinsoku/>
        <w:overflowPunct/>
        <w:topLinePunct w:val="0"/>
        <w:bidi w:val="0"/>
        <w:spacing w:line="360" w:lineRule="auto"/>
        <w:ind w:firstLine="200"/>
        <w:outlineLvl w:val="9"/>
        <w:rPr>
          <w:rFonts w:hint="eastAsia" w:ascii="宋体" w:hAnsi="宋体" w:eastAsia="宋体" w:cs="宋体"/>
          <w:b/>
          <w:szCs w:val="21"/>
          <w:highlight w:val="none"/>
        </w:rPr>
      </w:pPr>
    </w:p>
    <w:p w14:paraId="56C4EA94">
      <w:pPr>
        <w:pageBreakBefore w:val="0"/>
        <w:kinsoku/>
        <w:overflowPunct/>
        <w:topLinePunct w:val="0"/>
        <w:bidi w:val="0"/>
        <w:spacing w:line="360" w:lineRule="auto"/>
        <w:ind w:firstLine="200"/>
        <w:jc w:val="center"/>
        <w:outlineLvl w:val="9"/>
        <w:rPr>
          <w:rFonts w:hint="eastAsia" w:ascii="宋体" w:hAnsi="宋体" w:eastAsia="宋体" w:cs="宋体"/>
          <w:b/>
          <w:color w:val="0000FF"/>
          <w:sz w:val="48"/>
          <w:szCs w:val="48"/>
          <w:highlight w:val="none"/>
          <w:lang w:eastAsia="zh-CN"/>
        </w:rPr>
      </w:pPr>
      <w:r>
        <w:rPr>
          <w:rFonts w:hint="eastAsia" w:ascii="宋体" w:hAnsi="宋体" w:eastAsia="宋体" w:cs="宋体"/>
          <w:b/>
          <w:sz w:val="28"/>
          <w:szCs w:val="28"/>
          <w:highlight w:val="none"/>
          <w:lang w:eastAsia="zh-CN"/>
        </w:rPr>
        <w:t>（</w:t>
      </w:r>
      <w:r>
        <w:rPr>
          <w:rFonts w:hint="eastAsia" w:ascii="宋体" w:hAnsi="宋体" w:eastAsia="宋体" w:cs="宋体"/>
          <w:b/>
          <w:sz w:val="28"/>
          <w:szCs w:val="28"/>
          <w:highlight w:val="none"/>
          <w:lang w:val="en-US" w:eastAsia="zh-CN"/>
        </w:rPr>
        <w:t>第一标段、第二标段</w:t>
      </w:r>
      <w:r>
        <w:rPr>
          <w:rFonts w:hint="eastAsia" w:ascii="宋体" w:hAnsi="宋体" w:eastAsia="宋体" w:cs="宋体"/>
          <w:b/>
          <w:sz w:val="28"/>
          <w:szCs w:val="28"/>
          <w:highlight w:val="none"/>
          <w:lang w:eastAsia="zh-CN"/>
        </w:rPr>
        <w:t>）</w:t>
      </w:r>
      <w:r>
        <w:rPr>
          <w:rFonts w:hint="eastAsia" w:ascii="宋体" w:hAnsi="宋体" w:eastAsia="宋体" w:cs="宋体"/>
          <w:b/>
          <w:color w:val="0000FF"/>
          <w:sz w:val="28"/>
          <w:szCs w:val="28"/>
          <w:highlight w:val="none"/>
          <w:lang w:eastAsia="zh-CN"/>
        </w:rPr>
        <w:t>（仅参与</w:t>
      </w:r>
      <w:r>
        <w:rPr>
          <w:rFonts w:hint="eastAsia" w:ascii="宋体" w:hAnsi="宋体" w:eastAsia="宋体" w:cs="宋体"/>
          <w:b/>
          <w:color w:val="0000FF"/>
          <w:sz w:val="28"/>
          <w:szCs w:val="28"/>
          <w:highlight w:val="none"/>
          <w:lang w:val="en-US" w:eastAsia="zh-CN"/>
        </w:rPr>
        <w:t>三标段的供应商请忽略</w:t>
      </w:r>
      <w:r>
        <w:rPr>
          <w:rFonts w:hint="eastAsia" w:ascii="宋体" w:hAnsi="宋体" w:eastAsia="宋体" w:cs="宋体"/>
          <w:b/>
          <w:color w:val="0000FF"/>
          <w:sz w:val="28"/>
          <w:szCs w:val="28"/>
          <w:highlight w:val="none"/>
          <w:lang w:eastAsia="zh-CN"/>
        </w:rPr>
        <w:t>）</w:t>
      </w:r>
    </w:p>
    <w:p w14:paraId="263D31D7">
      <w:pPr>
        <w:spacing w:line="360" w:lineRule="auto"/>
        <w:jc w:val="center"/>
        <w:rPr>
          <w:rFonts w:hint="eastAsia" w:ascii="宋体" w:hAnsi="宋体" w:cs="宋体"/>
          <w:b/>
          <w:bCs/>
          <w:sz w:val="72"/>
          <w:szCs w:val="72"/>
          <w:highlight w:val="none"/>
        </w:rPr>
      </w:pPr>
      <w:r>
        <w:rPr>
          <w:rFonts w:hint="eastAsia" w:ascii="宋体" w:hAnsi="宋体" w:cs="宋体"/>
          <w:b/>
          <w:bCs/>
          <w:sz w:val="72"/>
          <w:szCs w:val="72"/>
          <w:highlight w:val="none"/>
        </w:rPr>
        <w:t>竞争性磋商响应文件</w:t>
      </w:r>
    </w:p>
    <w:p w14:paraId="538A2307">
      <w:pPr>
        <w:widowControl/>
        <w:spacing w:line="360" w:lineRule="auto"/>
        <w:rPr>
          <w:rFonts w:hint="eastAsia" w:ascii="宋体" w:hAnsi="宋体" w:cs="宋体"/>
          <w:b/>
          <w:bCs/>
          <w:kern w:val="0"/>
          <w:sz w:val="30"/>
          <w:szCs w:val="30"/>
          <w:highlight w:val="none"/>
        </w:rPr>
      </w:pPr>
    </w:p>
    <w:p w14:paraId="52FD3548">
      <w:pPr>
        <w:pStyle w:val="65"/>
        <w:ind w:firstLine="0"/>
        <w:jc w:val="center"/>
        <w:rPr>
          <w:rFonts w:hint="eastAsia" w:ascii="宋体" w:hAnsi="宋体"/>
          <w:highlight w:val="none"/>
        </w:rPr>
      </w:pPr>
      <w:r>
        <w:rPr>
          <w:rFonts w:hint="eastAsia" w:ascii="宋体" w:hAnsi="宋体"/>
          <w:b/>
          <w:bCs/>
          <w:kern w:val="0"/>
          <w:sz w:val="32"/>
          <w:szCs w:val="32"/>
          <w:highlight w:val="none"/>
        </w:rPr>
        <w:t>项目编号：</w:t>
      </w:r>
    </w:p>
    <w:p w14:paraId="43E05EF9">
      <w:pPr>
        <w:spacing w:line="360" w:lineRule="auto"/>
        <w:jc w:val="center"/>
        <w:rPr>
          <w:rFonts w:hint="eastAsia" w:ascii="宋体" w:hAnsi="宋体" w:cs="宋体"/>
          <w:sz w:val="32"/>
          <w:szCs w:val="32"/>
          <w:highlight w:val="none"/>
        </w:rPr>
      </w:pPr>
    </w:p>
    <w:p w14:paraId="5DB832A0">
      <w:pPr>
        <w:pStyle w:val="21"/>
        <w:ind w:firstLine="0"/>
        <w:rPr>
          <w:rFonts w:hint="eastAsia" w:ascii="宋体" w:hAnsi="宋体" w:eastAsia="宋体" w:cs="宋体"/>
          <w:color w:val="auto"/>
          <w:highlight w:val="none"/>
        </w:rPr>
      </w:pPr>
    </w:p>
    <w:p w14:paraId="4CBFCDDB">
      <w:pPr>
        <w:pStyle w:val="22"/>
        <w:rPr>
          <w:rFonts w:hint="eastAsia" w:ascii="宋体" w:hAnsi="宋体" w:eastAsia="宋体" w:cs="宋体"/>
          <w:color w:val="auto"/>
          <w:highlight w:val="none"/>
        </w:rPr>
      </w:pPr>
    </w:p>
    <w:p w14:paraId="22F7F646">
      <w:pPr>
        <w:pStyle w:val="22"/>
        <w:rPr>
          <w:rFonts w:hint="eastAsia" w:ascii="宋体" w:hAnsi="宋体" w:eastAsia="宋体" w:cs="宋体"/>
          <w:color w:val="auto"/>
          <w:highlight w:val="none"/>
        </w:rPr>
      </w:pPr>
    </w:p>
    <w:p w14:paraId="4B2AAD61">
      <w:pPr>
        <w:rPr>
          <w:rFonts w:hint="eastAsia" w:ascii="宋体" w:hAnsi="宋体" w:eastAsia="宋体" w:cs="宋体"/>
          <w:color w:val="auto"/>
          <w:highlight w:val="none"/>
        </w:rPr>
      </w:pPr>
    </w:p>
    <w:p w14:paraId="1D2E827B">
      <w:pPr>
        <w:pStyle w:val="21"/>
        <w:ind w:left="0" w:leftChars="0" w:firstLine="0" w:firstLineChars="0"/>
        <w:rPr>
          <w:rFonts w:hint="eastAsia" w:ascii="宋体" w:hAnsi="宋体" w:eastAsia="宋体" w:cs="宋体"/>
          <w:color w:val="auto"/>
          <w:highlight w:val="none"/>
        </w:rPr>
      </w:pPr>
    </w:p>
    <w:p w14:paraId="3693C93D">
      <w:pPr>
        <w:spacing w:line="360" w:lineRule="auto"/>
        <w:rPr>
          <w:rFonts w:hint="eastAsia" w:ascii="宋体" w:hAnsi="宋体" w:cs="宋体"/>
          <w:kern w:val="0"/>
          <w:sz w:val="18"/>
          <w:szCs w:val="18"/>
          <w:highlight w:val="none"/>
          <w:shd w:val="clear" w:color="auto" w:fill="FFFFFF"/>
        </w:rPr>
      </w:pPr>
    </w:p>
    <w:p w14:paraId="668434FF">
      <w:pPr>
        <w:pStyle w:val="14"/>
        <w:rPr>
          <w:rFonts w:hint="eastAsia"/>
          <w:highlight w:val="none"/>
        </w:rPr>
      </w:pPr>
    </w:p>
    <w:p w14:paraId="0169B6CC">
      <w:pPr>
        <w:widowControl/>
        <w:shd w:val="clear" w:color="auto" w:fill="FFFFFF"/>
        <w:spacing w:line="360" w:lineRule="auto"/>
        <w:ind w:firstLine="1701" w:firstLineChars="605"/>
        <w:jc w:val="left"/>
        <w:outlineLvl w:val="0"/>
        <w:rPr>
          <w:rFonts w:hint="eastAsia" w:ascii="宋体" w:hAnsi="宋体" w:cs="宋体"/>
          <w:kern w:val="0"/>
          <w:sz w:val="28"/>
          <w:szCs w:val="28"/>
          <w:highlight w:val="none"/>
          <w:shd w:val="clear" w:color="auto" w:fill="FFFFFF"/>
        </w:rPr>
      </w:pPr>
      <w:bookmarkStart w:id="1142" w:name="_Toc8777"/>
      <w:bookmarkStart w:id="1143" w:name="_Toc5947"/>
      <w:bookmarkStart w:id="1144" w:name="_Toc30363"/>
      <w:bookmarkStart w:id="1145" w:name="_Toc20114"/>
      <w:bookmarkStart w:id="1146" w:name="_Toc29663"/>
      <w:bookmarkStart w:id="1147" w:name="_Toc5490"/>
      <w:r>
        <w:rPr>
          <w:rFonts w:hint="eastAsia" w:ascii="宋体" w:hAnsi="宋体" w:cs="宋体"/>
          <w:b/>
          <w:bCs/>
          <w:kern w:val="0"/>
          <w:sz w:val="28"/>
          <w:szCs w:val="28"/>
          <w:highlight w:val="none"/>
          <w:shd w:val="clear" w:color="auto" w:fill="FFFFFF"/>
        </w:rPr>
        <w:t>磋商响应供应商名称：（盖单位公章）</w:t>
      </w:r>
      <w:bookmarkEnd w:id="1142"/>
      <w:bookmarkEnd w:id="1143"/>
      <w:bookmarkEnd w:id="1144"/>
      <w:bookmarkEnd w:id="1145"/>
      <w:bookmarkEnd w:id="1146"/>
      <w:bookmarkEnd w:id="1147"/>
    </w:p>
    <w:p w14:paraId="697E9E74">
      <w:pPr>
        <w:widowControl/>
        <w:shd w:val="clear" w:color="auto" w:fill="FFFFFF"/>
        <w:spacing w:line="360" w:lineRule="auto"/>
        <w:ind w:firstLine="1701" w:firstLineChars="605"/>
        <w:jc w:val="left"/>
        <w:outlineLvl w:val="0"/>
        <w:rPr>
          <w:rFonts w:hint="eastAsia" w:ascii="宋体" w:hAnsi="宋体" w:cs="宋体"/>
          <w:b/>
          <w:bCs/>
          <w:kern w:val="0"/>
          <w:sz w:val="28"/>
          <w:szCs w:val="28"/>
          <w:highlight w:val="none"/>
          <w:shd w:val="clear" w:color="auto" w:fill="FFFFFF"/>
        </w:rPr>
      </w:pPr>
      <w:bookmarkStart w:id="1148" w:name="_Toc9100"/>
      <w:bookmarkStart w:id="1149" w:name="_Toc13296"/>
      <w:bookmarkStart w:id="1150" w:name="_Toc27900"/>
      <w:bookmarkStart w:id="1151" w:name="_Toc21417"/>
      <w:bookmarkStart w:id="1152" w:name="_Toc1406"/>
      <w:bookmarkStart w:id="1153" w:name="_Toc816"/>
      <w:r>
        <w:rPr>
          <w:rFonts w:hint="eastAsia" w:ascii="宋体" w:hAnsi="宋体" w:cs="宋体"/>
          <w:b/>
          <w:bCs/>
          <w:kern w:val="0"/>
          <w:sz w:val="28"/>
          <w:szCs w:val="28"/>
          <w:highlight w:val="none"/>
          <w:shd w:val="clear" w:color="auto" w:fill="FFFFFF"/>
        </w:rPr>
        <w:t>法定代表人：（</w:t>
      </w:r>
      <w:r>
        <w:rPr>
          <w:rFonts w:hint="eastAsia" w:ascii="宋体" w:hAnsi="宋体" w:cs="宋体"/>
          <w:b/>
          <w:bCs/>
          <w:kern w:val="0"/>
          <w:sz w:val="28"/>
          <w:szCs w:val="28"/>
          <w:highlight w:val="none"/>
          <w:shd w:val="clear" w:color="auto" w:fill="FFFFFF"/>
          <w:lang w:val="en-US" w:eastAsia="zh-CN"/>
        </w:rPr>
        <w:t>电子</w:t>
      </w:r>
      <w:r>
        <w:rPr>
          <w:rFonts w:hint="eastAsia" w:ascii="宋体" w:hAnsi="宋体" w:cs="宋体"/>
          <w:b/>
          <w:bCs/>
          <w:kern w:val="0"/>
          <w:sz w:val="28"/>
          <w:szCs w:val="28"/>
          <w:highlight w:val="none"/>
          <w:shd w:val="clear" w:color="auto" w:fill="FFFFFF"/>
        </w:rPr>
        <w:t>签章）</w:t>
      </w:r>
      <w:bookmarkEnd w:id="1148"/>
      <w:bookmarkEnd w:id="1149"/>
      <w:bookmarkEnd w:id="1150"/>
      <w:bookmarkEnd w:id="1151"/>
      <w:bookmarkEnd w:id="1152"/>
      <w:bookmarkEnd w:id="1153"/>
    </w:p>
    <w:p w14:paraId="7DAC14B9">
      <w:pPr>
        <w:widowControl/>
        <w:shd w:val="clear" w:color="auto" w:fill="FFFFFF"/>
        <w:spacing w:line="360" w:lineRule="auto"/>
        <w:ind w:firstLine="1701" w:firstLineChars="605"/>
        <w:jc w:val="left"/>
        <w:outlineLvl w:val="0"/>
        <w:rPr>
          <w:rFonts w:hint="eastAsia" w:ascii="宋体" w:hAnsi="宋体" w:cs="宋体"/>
          <w:b/>
          <w:bCs/>
          <w:kern w:val="0"/>
          <w:sz w:val="28"/>
          <w:szCs w:val="28"/>
          <w:highlight w:val="none"/>
          <w:shd w:val="clear" w:color="auto" w:fill="FFFFFF"/>
        </w:rPr>
      </w:pPr>
      <w:bookmarkStart w:id="1154" w:name="_Toc22016"/>
      <w:bookmarkStart w:id="1155" w:name="_Toc25243"/>
      <w:bookmarkStart w:id="1156" w:name="_Toc201"/>
      <w:bookmarkStart w:id="1157" w:name="_Toc24489"/>
      <w:bookmarkStart w:id="1158" w:name="_Toc1168"/>
      <w:bookmarkStart w:id="1159" w:name="_Toc31899"/>
      <w:r>
        <w:rPr>
          <w:rFonts w:hint="eastAsia" w:ascii="宋体" w:hAnsi="宋体" w:cs="宋体"/>
          <w:b/>
          <w:bCs/>
          <w:kern w:val="0"/>
          <w:sz w:val="28"/>
          <w:szCs w:val="28"/>
          <w:highlight w:val="none"/>
          <w:shd w:val="clear" w:color="auto" w:fill="FFFFFF"/>
        </w:rPr>
        <w:t>日      期：</w:t>
      </w:r>
      <w:bookmarkEnd w:id="1154"/>
      <w:bookmarkEnd w:id="1155"/>
      <w:bookmarkEnd w:id="1156"/>
      <w:bookmarkEnd w:id="1157"/>
      <w:bookmarkEnd w:id="1158"/>
      <w:bookmarkEnd w:id="1159"/>
      <w:bookmarkStart w:id="1160" w:name="_Toc169921409"/>
      <w:bookmarkEnd w:id="1160"/>
      <w:bookmarkStart w:id="1161" w:name="_Toc171073044"/>
      <w:bookmarkEnd w:id="1161"/>
      <w:bookmarkStart w:id="1162" w:name="_Toc223432389"/>
      <w:bookmarkEnd w:id="1162"/>
      <w:bookmarkStart w:id="1163" w:name="_Toc171073209"/>
      <w:bookmarkEnd w:id="1163"/>
    </w:p>
    <w:p w14:paraId="68E08447">
      <w:pPr>
        <w:pStyle w:val="65"/>
        <w:rPr>
          <w:rFonts w:hint="eastAsia" w:ascii="宋体" w:hAnsi="宋体"/>
          <w:highlight w:val="none"/>
        </w:rPr>
      </w:pPr>
    </w:p>
    <w:p w14:paraId="79DD9FBA">
      <w:pPr>
        <w:widowControl/>
        <w:spacing w:line="360" w:lineRule="auto"/>
        <w:ind w:firstLine="480"/>
        <w:jc w:val="center"/>
        <w:rPr>
          <w:rFonts w:hint="eastAsia" w:ascii="宋体" w:hAnsi="宋体" w:cs="宋体"/>
          <w:kern w:val="0"/>
          <w:sz w:val="48"/>
          <w:szCs w:val="48"/>
          <w:highlight w:val="none"/>
        </w:rPr>
      </w:pPr>
    </w:p>
    <w:p w14:paraId="344319FB">
      <w:pPr>
        <w:pStyle w:val="21"/>
        <w:ind w:left="0" w:leftChars="0" w:firstLine="0" w:firstLineChars="0"/>
        <w:rPr>
          <w:rFonts w:hint="eastAsia"/>
          <w:highlight w:val="none"/>
        </w:rPr>
      </w:pPr>
      <w:bookmarkStart w:id="1164" w:name="_Toc8707"/>
      <w:bookmarkStart w:id="1165" w:name="_Toc21924"/>
      <w:bookmarkStart w:id="1166" w:name="_Toc27994"/>
      <w:bookmarkStart w:id="1167" w:name="_Toc10263"/>
    </w:p>
    <w:p w14:paraId="140ED5AF">
      <w:pPr>
        <w:widowControl/>
        <w:spacing w:line="360" w:lineRule="auto"/>
        <w:ind w:firstLine="480"/>
        <w:jc w:val="center"/>
        <w:outlineLvl w:val="0"/>
        <w:rPr>
          <w:rFonts w:hint="eastAsia" w:ascii="宋体" w:hAnsi="宋体" w:cs="宋体"/>
          <w:kern w:val="0"/>
          <w:sz w:val="36"/>
          <w:szCs w:val="36"/>
          <w:highlight w:val="none"/>
        </w:rPr>
      </w:pPr>
      <w:bookmarkStart w:id="1168" w:name="_Toc22321"/>
      <w:bookmarkStart w:id="1169" w:name="_Toc1945"/>
      <w:r>
        <w:rPr>
          <w:rFonts w:hint="eastAsia" w:ascii="宋体" w:hAnsi="宋体" w:cs="宋体"/>
          <w:kern w:val="0"/>
          <w:sz w:val="36"/>
          <w:szCs w:val="36"/>
          <w:highlight w:val="none"/>
        </w:rPr>
        <w:t>目</w:t>
      </w:r>
      <w:r>
        <w:rPr>
          <w:rFonts w:hint="eastAsia" w:ascii="宋体" w:hAnsi="宋体" w:cs="宋体"/>
          <w:kern w:val="0"/>
          <w:sz w:val="36"/>
          <w:szCs w:val="36"/>
          <w:highlight w:val="none"/>
          <w:lang w:val="en-US" w:eastAsia="zh-CN"/>
        </w:rPr>
        <w:t xml:space="preserve"> </w:t>
      </w:r>
      <w:r>
        <w:rPr>
          <w:rFonts w:hint="eastAsia" w:ascii="宋体" w:hAnsi="宋体" w:cs="宋体"/>
          <w:kern w:val="0"/>
          <w:sz w:val="36"/>
          <w:szCs w:val="36"/>
          <w:highlight w:val="none"/>
        </w:rPr>
        <w:t>录</w:t>
      </w:r>
      <w:bookmarkEnd w:id="1164"/>
      <w:bookmarkEnd w:id="1165"/>
      <w:bookmarkEnd w:id="1166"/>
      <w:bookmarkEnd w:id="1167"/>
      <w:bookmarkEnd w:id="1168"/>
      <w:bookmarkEnd w:id="1169"/>
    </w:p>
    <w:p w14:paraId="1CF9DD96">
      <w:pPr>
        <w:widowControl/>
        <w:spacing w:line="360" w:lineRule="auto"/>
        <w:jc w:val="left"/>
        <w:rPr>
          <w:rFonts w:hint="eastAsia" w:ascii="宋体" w:hAnsi="宋体" w:cs="宋体"/>
          <w:kern w:val="0"/>
          <w:sz w:val="24"/>
          <w:szCs w:val="24"/>
          <w:highlight w:val="none"/>
        </w:rPr>
      </w:pPr>
    </w:p>
    <w:p w14:paraId="242B63A2">
      <w:pPr>
        <w:spacing w:line="360" w:lineRule="auto"/>
        <w:ind w:left="239" w:leftChars="114" w:firstLine="600" w:firstLineChars="250"/>
        <w:rPr>
          <w:rFonts w:hint="eastAsia" w:ascii="宋体" w:hAnsi="宋体" w:cs="宋体"/>
          <w:sz w:val="24"/>
          <w:szCs w:val="24"/>
          <w:highlight w:val="none"/>
        </w:rPr>
      </w:pPr>
      <w:bookmarkStart w:id="1170" w:name="_Toc6525"/>
      <w:bookmarkStart w:id="1171" w:name="_Toc14616"/>
      <w:bookmarkStart w:id="1172" w:name="_Toc24722_WPSOffice_Level1"/>
      <w:bookmarkStart w:id="1173" w:name="_Toc22513"/>
      <w:bookmarkStart w:id="1174" w:name="_Toc24352_WPSOffice_Level1"/>
      <w:bookmarkStart w:id="1175" w:name="_Toc11955"/>
      <w:bookmarkStart w:id="1176" w:name="_Toc22560"/>
      <w:bookmarkStart w:id="1177" w:name="_Toc12513"/>
      <w:bookmarkStart w:id="1178" w:name="_Toc31157"/>
      <w:r>
        <w:rPr>
          <w:rFonts w:hint="eastAsia" w:ascii="宋体" w:hAnsi="宋体" w:cs="宋体"/>
          <w:sz w:val="24"/>
          <w:szCs w:val="24"/>
          <w:highlight w:val="none"/>
        </w:rPr>
        <w:t>一、磋商函及磋商函附录；</w:t>
      </w:r>
      <w:bookmarkEnd w:id="1170"/>
      <w:bookmarkEnd w:id="1171"/>
      <w:bookmarkEnd w:id="1172"/>
      <w:bookmarkEnd w:id="1173"/>
      <w:bookmarkEnd w:id="1174"/>
      <w:bookmarkEnd w:id="1175"/>
      <w:bookmarkEnd w:id="1176"/>
      <w:bookmarkEnd w:id="1177"/>
      <w:bookmarkEnd w:id="1178"/>
    </w:p>
    <w:p w14:paraId="4B72E380">
      <w:pPr>
        <w:spacing w:line="360" w:lineRule="auto"/>
        <w:ind w:left="239" w:leftChars="114" w:firstLine="600" w:firstLineChars="250"/>
        <w:rPr>
          <w:rFonts w:hint="eastAsia" w:ascii="宋体" w:hAnsi="宋体" w:cs="宋体"/>
          <w:sz w:val="24"/>
          <w:szCs w:val="24"/>
          <w:highlight w:val="none"/>
        </w:rPr>
      </w:pPr>
      <w:bookmarkStart w:id="1179" w:name="_Toc26240"/>
      <w:bookmarkStart w:id="1180" w:name="_Toc17177"/>
      <w:bookmarkStart w:id="1181" w:name="_Toc24811"/>
      <w:bookmarkStart w:id="1182" w:name="_Toc12947"/>
      <w:bookmarkStart w:id="1183" w:name="_Toc6412"/>
      <w:bookmarkStart w:id="1184" w:name="_Toc6619"/>
      <w:bookmarkStart w:id="1185" w:name="_Toc15528_WPSOffice_Level1"/>
      <w:bookmarkStart w:id="1186" w:name="_Toc7828"/>
      <w:bookmarkStart w:id="1187" w:name="_Toc15576_WPSOffice_Level1"/>
      <w:r>
        <w:rPr>
          <w:rFonts w:hint="eastAsia" w:ascii="宋体" w:hAnsi="宋体" w:cs="宋体"/>
          <w:sz w:val="24"/>
          <w:szCs w:val="24"/>
          <w:highlight w:val="none"/>
        </w:rPr>
        <w:t>二、法定代表人身份证明；</w:t>
      </w:r>
      <w:bookmarkEnd w:id="1179"/>
      <w:bookmarkEnd w:id="1180"/>
      <w:bookmarkEnd w:id="1181"/>
      <w:bookmarkEnd w:id="1182"/>
      <w:bookmarkEnd w:id="1183"/>
      <w:bookmarkEnd w:id="1184"/>
      <w:bookmarkEnd w:id="1185"/>
      <w:bookmarkEnd w:id="1186"/>
      <w:bookmarkEnd w:id="1187"/>
    </w:p>
    <w:p w14:paraId="732869CF">
      <w:pPr>
        <w:spacing w:line="360" w:lineRule="auto"/>
        <w:ind w:left="239" w:leftChars="114" w:firstLine="600" w:firstLineChars="250"/>
        <w:rPr>
          <w:rFonts w:hint="eastAsia" w:ascii="宋体" w:hAnsi="宋体" w:cs="宋体"/>
          <w:sz w:val="24"/>
          <w:szCs w:val="24"/>
          <w:highlight w:val="none"/>
        </w:rPr>
      </w:pPr>
      <w:bookmarkStart w:id="1188" w:name="_Toc9934"/>
      <w:bookmarkStart w:id="1189" w:name="_Toc27586"/>
      <w:bookmarkStart w:id="1190" w:name="_Toc29339"/>
      <w:bookmarkStart w:id="1191" w:name="_Toc2876"/>
      <w:bookmarkStart w:id="1192" w:name="_Toc6910"/>
      <w:bookmarkStart w:id="1193" w:name="_Toc9366_WPSOffice_Level1"/>
      <w:bookmarkStart w:id="1194" w:name="_Toc4516"/>
      <w:bookmarkStart w:id="1195" w:name="_Toc17840_WPSOffice_Level1"/>
      <w:bookmarkStart w:id="1196" w:name="_Toc4402"/>
      <w:r>
        <w:rPr>
          <w:rFonts w:hint="eastAsia" w:ascii="宋体" w:hAnsi="宋体" w:cs="宋体"/>
          <w:sz w:val="24"/>
          <w:szCs w:val="24"/>
          <w:highlight w:val="none"/>
        </w:rPr>
        <w:t>三、授权委托书；</w:t>
      </w:r>
      <w:bookmarkEnd w:id="1188"/>
      <w:bookmarkEnd w:id="1189"/>
      <w:bookmarkEnd w:id="1190"/>
      <w:bookmarkEnd w:id="1191"/>
      <w:bookmarkEnd w:id="1192"/>
      <w:bookmarkEnd w:id="1193"/>
      <w:bookmarkEnd w:id="1194"/>
      <w:bookmarkEnd w:id="1195"/>
      <w:bookmarkEnd w:id="1196"/>
    </w:p>
    <w:p w14:paraId="6B4D7C42">
      <w:pPr>
        <w:spacing w:line="360" w:lineRule="auto"/>
        <w:ind w:left="239" w:leftChars="114" w:firstLine="600" w:firstLineChars="250"/>
        <w:rPr>
          <w:rFonts w:hint="eastAsia" w:ascii="宋体" w:hAnsi="宋体" w:cs="宋体"/>
          <w:sz w:val="24"/>
          <w:szCs w:val="24"/>
          <w:highlight w:val="none"/>
        </w:rPr>
      </w:pPr>
      <w:bookmarkStart w:id="1197" w:name="_Toc8742"/>
      <w:bookmarkStart w:id="1198" w:name="_Toc24046_WPSOffice_Level1"/>
      <w:bookmarkStart w:id="1199" w:name="_Toc8604"/>
      <w:bookmarkStart w:id="1200" w:name="_Toc13315"/>
      <w:bookmarkStart w:id="1201" w:name="_Toc32093"/>
      <w:bookmarkStart w:id="1202" w:name="_Toc19907"/>
      <w:bookmarkStart w:id="1203" w:name="_Toc1538"/>
      <w:bookmarkStart w:id="1204" w:name="_Toc1914"/>
      <w:bookmarkStart w:id="1205" w:name="_Toc10714_WPSOffice_Level1"/>
      <w:r>
        <w:rPr>
          <w:rFonts w:hint="eastAsia" w:ascii="宋体" w:hAnsi="宋体" w:cs="宋体"/>
          <w:sz w:val="24"/>
          <w:szCs w:val="24"/>
          <w:highlight w:val="none"/>
        </w:rPr>
        <w:t>四、磋商承诺函；</w:t>
      </w:r>
      <w:bookmarkEnd w:id="1197"/>
      <w:bookmarkEnd w:id="1198"/>
      <w:bookmarkEnd w:id="1199"/>
      <w:bookmarkEnd w:id="1200"/>
      <w:bookmarkEnd w:id="1201"/>
      <w:bookmarkEnd w:id="1202"/>
      <w:bookmarkEnd w:id="1203"/>
      <w:bookmarkEnd w:id="1204"/>
      <w:bookmarkEnd w:id="1205"/>
    </w:p>
    <w:p w14:paraId="2F00C087">
      <w:pPr>
        <w:spacing w:line="360" w:lineRule="auto"/>
        <w:ind w:left="239" w:leftChars="114" w:firstLine="600" w:firstLineChars="250"/>
        <w:rPr>
          <w:rFonts w:hint="eastAsia" w:ascii="宋体" w:hAnsi="宋体" w:cs="宋体"/>
          <w:sz w:val="24"/>
          <w:szCs w:val="24"/>
          <w:highlight w:val="none"/>
        </w:rPr>
      </w:pPr>
      <w:bookmarkStart w:id="1206" w:name="_Toc3348"/>
      <w:bookmarkStart w:id="1207" w:name="_Toc9672"/>
      <w:bookmarkStart w:id="1208" w:name="_Toc15119"/>
      <w:bookmarkStart w:id="1209" w:name="_Toc6566_WPSOffice_Level1"/>
      <w:bookmarkStart w:id="1210" w:name="_Toc19453"/>
      <w:bookmarkStart w:id="1211" w:name="_Toc27388"/>
      <w:bookmarkStart w:id="1212" w:name="_Toc29013"/>
      <w:bookmarkStart w:id="1213" w:name="_Toc26372_WPSOffice_Level1"/>
      <w:r>
        <w:rPr>
          <w:rFonts w:hint="eastAsia" w:ascii="宋体" w:hAnsi="宋体" w:cs="宋体"/>
          <w:sz w:val="24"/>
          <w:szCs w:val="24"/>
          <w:highlight w:val="none"/>
        </w:rPr>
        <w:t>五、项目服务方案；</w:t>
      </w:r>
      <w:bookmarkEnd w:id="1206"/>
      <w:bookmarkEnd w:id="1207"/>
      <w:bookmarkEnd w:id="1208"/>
      <w:bookmarkEnd w:id="1209"/>
      <w:bookmarkEnd w:id="1210"/>
      <w:bookmarkEnd w:id="1211"/>
      <w:bookmarkEnd w:id="1212"/>
      <w:bookmarkEnd w:id="1213"/>
    </w:p>
    <w:p w14:paraId="089BB177">
      <w:pPr>
        <w:spacing w:line="360" w:lineRule="auto"/>
        <w:ind w:left="239" w:leftChars="114" w:firstLine="600" w:firstLineChars="250"/>
        <w:rPr>
          <w:rFonts w:hint="eastAsia" w:ascii="宋体" w:hAnsi="宋体" w:cs="宋体"/>
          <w:sz w:val="24"/>
          <w:szCs w:val="24"/>
          <w:highlight w:val="none"/>
        </w:rPr>
      </w:pPr>
      <w:bookmarkStart w:id="1214" w:name="_Toc14804"/>
      <w:bookmarkStart w:id="1215" w:name="_Toc3962"/>
      <w:bookmarkStart w:id="1216" w:name="_Toc338_WPSOffice_Level1"/>
      <w:bookmarkStart w:id="1217" w:name="_Toc15833_WPSOffice_Level1"/>
      <w:bookmarkStart w:id="1218" w:name="_Toc10922"/>
      <w:bookmarkStart w:id="1219" w:name="_Toc24519"/>
      <w:bookmarkStart w:id="1220" w:name="_Toc29414"/>
      <w:bookmarkStart w:id="1221" w:name="_Toc22685"/>
      <w:bookmarkStart w:id="1222" w:name="_Toc2664"/>
      <w:r>
        <w:rPr>
          <w:rFonts w:hint="eastAsia" w:ascii="宋体" w:hAnsi="宋体" w:cs="宋体"/>
          <w:sz w:val="24"/>
          <w:szCs w:val="24"/>
          <w:highlight w:val="none"/>
        </w:rPr>
        <w:t>六、资格审查资料；</w:t>
      </w:r>
      <w:bookmarkEnd w:id="1214"/>
      <w:bookmarkEnd w:id="1215"/>
      <w:bookmarkEnd w:id="1216"/>
      <w:bookmarkEnd w:id="1217"/>
      <w:bookmarkEnd w:id="1218"/>
      <w:bookmarkEnd w:id="1219"/>
      <w:bookmarkEnd w:id="1220"/>
      <w:bookmarkEnd w:id="1221"/>
      <w:bookmarkEnd w:id="1222"/>
    </w:p>
    <w:p w14:paraId="53D962F8">
      <w:pPr>
        <w:spacing w:line="360" w:lineRule="auto"/>
        <w:ind w:left="239" w:leftChars="114" w:firstLine="600" w:firstLineChars="250"/>
        <w:rPr>
          <w:rFonts w:hint="eastAsia" w:ascii="宋体" w:hAnsi="宋体" w:eastAsia="宋体" w:cs="宋体"/>
          <w:sz w:val="24"/>
          <w:szCs w:val="24"/>
          <w:highlight w:val="none"/>
        </w:rPr>
      </w:pPr>
      <w:bookmarkStart w:id="1223" w:name="_Toc21234_WPSOffice_Level1"/>
      <w:bookmarkStart w:id="1224" w:name="_Toc23837_WPSOffice_Level1"/>
      <w:bookmarkStart w:id="1225" w:name="_Toc2554"/>
      <w:bookmarkStart w:id="1226" w:name="_Toc23991"/>
      <w:bookmarkStart w:id="1227" w:name="_Toc22068"/>
      <w:bookmarkStart w:id="1228" w:name="_Toc3661"/>
      <w:bookmarkStart w:id="1229" w:name="_Toc29426"/>
      <w:bookmarkStart w:id="1230" w:name="_Toc27136"/>
      <w:bookmarkStart w:id="1231" w:name="_Toc14752"/>
      <w:r>
        <w:rPr>
          <w:rFonts w:hint="eastAsia" w:ascii="宋体" w:hAnsi="宋体" w:eastAsia="宋体" w:cs="宋体"/>
          <w:sz w:val="24"/>
          <w:szCs w:val="24"/>
          <w:highlight w:val="none"/>
        </w:rPr>
        <w:t>七、20</w:t>
      </w: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rPr>
        <w:t>年以来同类项目业绩情况表；</w:t>
      </w:r>
      <w:bookmarkEnd w:id="1223"/>
      <w:bookmarkEnd w:id="1224"/>
      <w:bookmarkEnd w:id="1225"/>
      <w:bookmarkEnd w:id="1226"/>
      <w:bookmarkEnd w:id="1227"/>
      <w:bookmarkEnd w:id="1228"/>
      <w:bookmarkEnd w:id="1229"/>
      <w:bookmarkEnd w:id="1230"/>
      <w:bookmarkEnd w:id="1231"/>
    </w:p>
    <w:p w14:paraId="23C8671A">
      <w:pPr>
        <w:spacing w:line="360" w:lineRule="auto"/>
        <w:ind w:left="239" w:leftChars="114" w:firstLine="600" w:firstLineChars="250"/>
        <w:rPr>
          <w:rFonts w:hint="eastAsia" w:ascii="宋体" w:hAnsi="宋体" w:eastAsia="宋体" w:cs="宋体"/>
          <w:sz w:val="24"/>
          <w:szCs w:val="24"/>
          <w:highlight w:val="none"/>
        </w:rPr>
      </w:pPr>
      <w:bookmarkStart w:id="1232" w:name="_Toc26090_WPSOffice_Level1"/>
      <w:bookmarkStart w:id="1233" w:name="_Toc24793"/>
      <w:bookmarkStart w:id="1234" w:name="_Toc17251"/>
      <w:bookmarkStart w:id="1235" w:name="_Toc31398_WPSOffice_Level1"/>
      <w:bookmarkStart w:id="1236" w:name="_Toc22051"/>
      <w:bookmarkStart w:id="1237" w:name="_Toc29721"/>
      <w:bookmarkStart w:id="1238" w:name="_Toc24897"/>
      <w:bookmarkStart w:id="1239" w:name="_Toc4842"/>
      <w:bookmarkStart w:id="1240" w:name="_Toc21369"/>
      <w:r>
        <w:rPr>
          <w:rFonts w:hint="eastAsia" w:ascii="宋体" w:hAnsi="宋体" w:eastAsia="宋体" w:cs="宋体"/>
          <w:sz w:val="24"/>
          <w:szCs w:val="24"/>
          <w:highlight w:val="none"/>
          <w:lang w:eastAsia="zh-CN"/>
        </w:rPr>
        <w:t>八、售后服务方案</w:t>
      </w:r>
      <w:r>
        <w:rPr>
          <w:rFonts w:hint="eastAsia" w:ascii="宋体" w:hAnsi="宋体" w:eastAsia="宋体" w:cs="宋体"/>
          <w:sz w:val="24"/>
          <w:szCs w:val="24"/>
          <w:highlight w:val="none"/>
        </w:rPr>
        <w:t>；</w:t>
      </w:r>
      <w:bookmarkEnd w:id="1232"/>
      <w:bookmarkEnd w:id="1233"/>
      <w:bookmarkEnd w:id="1234"/>
      <w:bookmarkEnd w:id="1235"/>
      <w:bookmarkEnd w:id="1236"/>
      <w:bookmarkEnd w:id="1237"/>
      <w:bookmarkEnd w:id="1238"/>
      <w:bookmarkEnd w:id="1239"/>
      <w:bookmarkEnd w:id="1240"/>
    </w:p>
    <w:p w14:paraId="328923BB">
      <w:pPr>
        <w:spacing w:line="360" w:lineRule="auto"/>
        <w:ind w:left="239" w:leftChars="114" w:firstLine="600"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九、关于所投产品承诺函</w:t>
      </w:r>
    </w:p>
    <w:p w14:paraId="6A374ED2">
      <w:pPr>
        <w:spacing w:line="360" w:lineRule="auto"/>
        <w:ind w:left="239" w:leftChars="114" w:firstLine="600" w:firstLineChars="250"/>
        <w:rPr>
          <w:rFonts w:hint="eastAsia" w:ascii="宋体" w:hAnsi="宋体" w:eastAsia="宋体" w:cs="宋体"/>
          <w:sz w:val="24"/>
          <w:szCs w:val="24"/>
          <w:highlight w:val="none"/>
          <w:lang w:eastAsia="zh-CN"/>
        </w:rPr>
      </w:pPr>
      <w:bookmarkStart w:id="1241" w:name="_Toc21855"/>
      <w:bookmarkStart w:id="1242" w:name="_Toc29505_WPSOffice_Level1"/>
      <w:bookmarkStart w:id="1243" w:name="_Toc23439"/>
      <w:bookmarkStart w:id="1244" w:name="_Toc886"/>
      <w:bookmarkStart w:id="1245" w:name="_Toc14631_WPSOffice_Level1"/>
      <w:bookmarkStart w:id="1246" w:name="_Toc5824"/>
      <w:bookmarkStart w:id="1247" w:name="_Toc7015"/>
      <w:bookmarkStart w:id="1248" w:name="_Toc22559"/>
      <w:bookmarkStart w:id="1249" w:name="_Toc5891"/>
      <w:r>
        <w:rPr>
          <w:rFonts w:hint="eastAsia" w:ascii="宋体" w:hAnsi="宋体" w:eastAsia="宋体" w:cs="宋体"/>
          <w:sz w:val="24"/>
          <w:szCs w:val="24"/>
          <w:highlight w:val="none"/>
          <w:lang w:eastAsia="zh-CN"/>
        </w:rPr>
        <w:t>十</w:t>
      </w:r>
      <w:r>
        <w:rPr>
          <w:rFonts w:hint="eastAsia" w:ascii="宋体" w:hAnsi="宋体" w:eastAsia="宋体" w:cs="宋体"/>
          <w:sz w:val="24"/>
          <w:szCs w:val="24"/>
          <w:highlight w:val="none"/>
        </w:rPr>
        <w:t>、其他材料</w:t>
      </w:r>
      <w:bookmarkEnd w:id="1241"/>
      <w:bookmarkEnd w:id="1242"/>
      <w:bookmarkEnd w:id="1243"/>
      <w:bookmarkEnd w:id="1244"/>
      <w:bookmarkEnd w:id="1245"/>
      <w:bookmarkEnd w:id="1246"/>
      <w:bookmarkEnd w:id="1247"/>
      <w:bookmarkEnd w:id="1248"/>
      <w:bookmarkEnd w:id="1249"/>
      <w:r>
        <w:rPr>
          <w:rFonts w:hint="eastAsia" w:ascii="宋体" w:hAnsi="宋体" w:eastAsia="宋体" w:cs="宋体"/>
          <w:sz w:val="24"/>
          <w:szCs w:val="24"/>
          <w:highlight w:val="none"/>
          <w:lang w:eastAsia="zh-CN"/>
        </w:rPr>
        <w:t>。</w:t>
      </w:r>
    </w:p>
    <w:p w14:paraId="3C8B4AB7">
      <w:pPr>
        <w:spacing w:line="360" w:lineRule="auto"/>
        <w:ind w:left="239" w:leftChars="114" w:firstLine="600" w:firstLineChars="250"/>
        <w:rPr>
          <w:rFonts w:hint="eastAsia" w:ascii="宋体" w:hAnsi="宋体" w:cs="宋体"/>
          <w:sz w:val="24"/>
          <w:szCs w:val="24"/>
          <w:highlight w:val="none"/>
        </w:rPr>
      </w:pPr>
    </w:p>
    <w:p w14:paraId="5BE67267">
      <w:pPr>
        <w:pStyle w:val="21"/>
        <w:rPr>
          <w:rFonts w:hint="eastAsia" w:ascii="宋体" w:hAnsi="宋体" w:eastAsia="宋体" w:cs="宋体"/>
          <w:color w:val="auto"/>
          <w:highlight w:val="none"/>
        </w:rPr>
      </w:pPr>
    </w:p>
    <w:p w14:paraId="544A763D">
      <w:pPr>
        <w:spacing w:line="360" w:lineRule="auto"/>
        <w:ind w:left="420"/>
        <w:jc w:val="left"/>
        <w:rPr>
          <w:rFonts w:hint="eastAsia" w:ascii="宋体" w:hAnsi="宋体" w:cs="宋体"/>
          <w:b/>
          <w:color w:val="FF0000"/>
          <w:sz w:val="30"/>
          <w:szCs w:val="30"/>
          <w:highlight w:val="none"/>
        </w:rPr>
      </w:pPr>
      <w:bookmarkStart w:id="1250" w:name="_Toc6272"/>
      <w:bookmarkStart w:id="1251" w:name="_Toc14423"/>
    </w:p>
    <w:p w14:paraId="56658496">
      <w:pPr>
        <w:spacing w:line="360" w:lineRule="auto"/>
        <w:ind w:left="420"/>
        <w:jc w:val="left"/>
        <w:outlineLvl w:val="0"/>
        <w:rPr>
          <w:rFonts w:ascii="宋体" w:hAnsi="宋体" w:cs="宋体"/>
          <w:b/>
          <w:color w:val="FF0000"/>
          <w:sz w:val="30"/>
          <w:szCs w:val="30"/>
          <w:highlight w:val="none"/>
        </w:rPr>
      </w:pPr>
      <w:bookmarkStart w:id="1252" w:name="_Toc16829"/>
      <w:bookmarkStart w:id="1253" w:name="_Toc849"/>
      <w:bookmarkStart w:id="1254" w:name="_Toc12156"/>
      <w:bookmarkStart w:id="1255" w:name="_Toc30382"/>
      <w:r>
        <w:rPr>
          <w:rFonts w:hint="eastAsia" w:ascii="宋体" w:hAnsi="宋体" w:cs="宋体"/>
          <w:b/>
          <w:color w:val="FF0000"/>
          <w:sz w:val="30"/>
          <w:szCs w:val="30"/>
          <w:highlight w:val="none"/>
        </w:rPr>
        <w:t>备注：1.目录格式可根据实际情况调整，目录内容包含以上但不限制，可增加</w:t>
      </w:r>
      <w:r>
        <w:rPr>
          <w:rFonts w:hint="eastAsia" w:ascii="宋体" w:hAnsi="宋体" w:cs="宋体"/>
          <w:b/>
          <w:color w:val="FF0000"/>
          <w:sz w:val="30"/>
          <w:szCs w:val="30"/>
          <w:highlight w:val="none"/>
          <w:lang w:eastAsia="zh-CN"/>
        </w:rPr>
        <w:t>，目录不作为废标项</w:t>
      </w:r>
      <w:r>
        <w:rPr>
          <w:rFonts w:hint="eastAsia" w:ascii="宋体" w:hAnsi="宋体" w:cs="宋体"/>
          <w:b/>
          <w:color w:val="FF0000"/>
          <w:sz w:val="30"/>
          <w:szCs w:val="30"/>
          <w:highlight w:val="none"/>
        </w:rPr>
        <w:t>。</w:t>
      </w:r>
      <w:bookmarkEnd w:id="1250"/>
      <w:bookmarkEnd w:id="1251"/>
      <w:bookmarkEnd w:id="1252"/>
      <w:bookmarkEnd w:id="1253"/>
      <w:bookmarkEnd w:id="1254"/>
      <w:bookmarkEnd w:id="1255"/>
    </w:p>
    <w:p w14:paraId="2FDEEBCD">
      <w:pPr>
        <w:spacing w:line="360" w:lineRule="auto"/>
        <w:ind w:left="420" w:firstLine="904" w:firstLineChars="300"/>
        <w:outlineLvl w:val="0"/>
        <w:rPr>
          <w:rFonts w:ascii="宋体" w:hAnsi="宋体" w:cs="宋体"/>
          <w:b/>
          <w:color w:val="FF0000"/>
          <w:sz w:val="30"/>
          <w:szCs w:val="30"/>
          <w:highlight w:val="none"/>
        </w:rPr>
      </w:pPr>
      <w:bookmarkStart w:id="1256" w:name="_Toc17750"/>
      <w:bookmarkStart w:id="1257" w:name="_Toc6940"/>
      <w:bookmarkStart w:id="1258" w:name="_Toc5890"/>
      <w:bookmarkStart w:id="1259" w:name="_Toc27815"/>
      <w:bookmarkStart w:id="1260" w:name="_Toc23315"/>
      <w:bookmarkStart w:id="1261" w:name="_Toc31527"/>
      <w:bookmarkStart w:id="1262" w:name="_Toc3903"/>
      <w:r>
        <w:rPr>
          <w:rFonts w:hint="eastAsia" w:ascii="宋体" w:hAnsi="宋体" w:cs="宋体"/>
          <w:b/>
          <w:color w:val="FF0000"/>
          <w:sz w:val="30"/>
          <w:szCs w:val="30"/>
          <w:highlight w:val="none"/>
        </w:rPr>
        <w:t>2.红色字体仅作提醒，编辑时可删除。</w:t>
      </w:r>
      <w:bookmarkEnd w:id="1256"/>
      <w:bookmarkEnd w:id="1257"/>
      <w:bookmarkEnd w:id="1258"/>
      <w:bookmarkEnd w:id="1259"/>
      <w:bookmarkEnd w:id="1260"/>
      <w:bookmarkEnd w:id="1261"/>
      <w:bookmarkEnd w:id="1262"/>
    </w:p>
    <w:p w14:paraId="69E7AAFC">
      <w:pPr>
        <w:spacing w:line="360" w:lineRule="auto"/>
        <w:jc w:val="center"/>
        <w:rPr>
          <w:rFonts w:hint="eastAsia" w:ascii="宋体" w:hAnsi="宋体" w:cs="宋体"/>
          <w:b/>
          <w:bCs/>
          <w:sz w:val="32"/>
          <w:szCs w:val="32"/>
          <w:highlight w:val="none"/>
        </w:rPr>
      </w:pPr>
    </w:p>
    <w:p w14:paraId="001521ED">
      <w:pPr>
        <w:jc w:val="both"/>
        <w:outlineLvl w:val="0"/>
        <w:rPr>
          <w:rFonts w:hint="eastAsia" w:ascii="宋体" w:hAnsi="宋体" w:cs="宋体"/>
          <w:b/>
          <w:bCs/>
          <w:sz w:val="32"/>
          <w:szCs w:val="32"/>
          <w:highlight w:val="none"/>
        </w:rPr>
      </w:pPr>
    </w:p>
    <w:p w14:paraId="7A2AF86B">
      <w:pPr>
        <w:pStyle w:val="38"/>
        <w:rPr>
          <w:rFonts w:hint="eastAsia" w:ascii="宋体" w:hAnsi="宋体" w:cs="宋体"/>
          <w:b/>
          <w:bCs/>
          <w:sz w:val="32"/>
          <w:szCs w:val="32"/>
          <w:highlight w:val="none"/>
        </w:rPr>
      </w:pPr>
    </w:p>
    <w:p w14:paraId="2434B8D8">
      <w:pPr>
        <w:pStyle w:val="21"/>
        <w:ind w:left="0" w:leftChars="0" w:firstLine="0" w:firstLineChars="0"/>
        <w:rPr>
          <w:rFonts w:hint="eastAsia"/>
          <w:highlight w:val="none"/>
        </w:rPr>
      </w:pPr>
    </w:p>
    <w:p w14:paraId="6442E5E0">
      <w:pPr>
        <w:pStyle w:val="21"/>
        <w:ind w:left="0" w:leftChars="0" w:firstLine="0" w:firstLineChars="0"/>
        <w:rPr>
          <w:rFonts w:hint="eastAsia"/>
          <w:highlight w:val="none"/>
        </w:rPr>
      </w:pPr>
    </w:p>
    <w:p w14:paraId="6C742C8D">
      <w:pPr>
        <w:pStyle w:val="21"/>
        <w:ind w:left="0" w:leftChars="0" w:firstLine="0" w:firstLineChars="0"/>
        <w:rPr>
          <w:rFonts w:hint="eastAsia"/>
          <w:highlight w:val="none"/>
        </w:rPr>
      </w:pPr>
    </w:p>
    <w:p w14:paraId="491296B8">
      <w:pPr>
        <w:pStyle w:val="21"/>
        <w:ind w:left="0" w:leftChars="0" w:firstLine="0" w:firstLineChars="0"/>
        <w:rPr>
          <w:rFonts w:hint="eastAsia"/>
          <w:highlight w:val="none"/>
        </w:rPr>
      </w:pPr>
    </w:p>
    <w:p w14:paraId="47F4BD61">
      <w:pPr>
        <w:pStyle w:val="21"/>
        <w:ind w:left="0" w:leftChars="0" w:firstLine="0" w:firstLineChars="0"/>
        <w:rPr>
          <w:rFonts w:hint="eastAsia"/>
          <w:highlight w:val="none"/>
        </w:rPr>
      </w:pPr>
    </w:p>
    <w:p w14:paraId="2CBA5703">
      <w:pPr>
        <w:pStyle w:val="21"/>
        <w:ind w:left="0" w:leftChars="0" w:firstLine="0" w:firstLineChars="0"/>
        <w:rPr>
          <w:rFonts w:hint="eastAsia"/>
          <w:highlight w:val="none"/>
        </w:rPr>
      </w:pPr>
    </w:p>
    <w:p w14:paraId="1A08055D">
      <w:pPr>
        <w:jc w:val="center"/>
        <w:outlineLvl w:val="0"/>
        <w:rPr>
          <w:rFonts w:hint="eastAsia" w:ascii="宋体" w:hAnsi="宋体" w:cs="宋体"/>
          <w:b/>
          <w:sz w:val="30"/>
          <w:szCs w:val="30"/>
          <w:highlight w:val="none"/>
        </w:rPr>
      </w:pPr>
      <w:bookmarkStart w:id="1263" w:name="_Toc28821"/>
      <w:bookmarkStart w:id="1264" w:name="_Toc15347"/>
      <w:r>
        <w:rPr>
          <w:rFonts w:hint="eastAsia" w:ascii="宋体" w:hAnsi="宋体" w:cs="宋体"/>
          <w:b/>
          <w:bCs/>
          <w:sz w:val="32"/>
          <w:szCs w:val="32"/>
          <w:highlight w:val="none"/>
        </w:rPr>
        <w:t>一、磋商响应函及</w:t>
      </w:r>
      <w:r>
        <w:rPr>
          <w:rFonts w:hint="eastAsia" w:ascii="宋体" w:hAnsi="宋体" w:cs="宋体"/>
          <w:b/>
          <w:sz w:val="30"/>
          <w:szCs w:val="30"/>
          <w:highlight w:val="none"/>
        </w:rPr>
        <w:t>磋商函附录</w:t>
      </w:r>
      <w:bookmarkEnd w:id="1263"/>
      <w:bookmarkEnd w:id="1264"/>
    </w:p>
    <w:p w14:paraId="792CF378">
      <w:pPr>
        <w:pStyle w:val="38"/>
        <w:jc w:val="center"/>
        <w:rPr>
          <w:rFonts w:hint="eastAsia" w:hAnsi="宋体" w:cs="宋体"/>
          <w:b/>
          <w:bCs/>
          <w:highlight w:val="none"/>
        </w:rPr>
      </w:pPr>
      <w:r>
        <w:rPr>
          <w:rFonts w:hint="eastAsia" w:hAnsi="宋体" w:cs="宋体"/>
          <w:b/>
          <w:bCs/>
          <w:highlight w:val="none"/>
        </w:rPr>
        <w:t>（一）磋商响应函</w:t>
      </w:r>
    </w:p>
    <w:p w14:paraId="45D33C44">
      <w:pPr>
        <w:spacing w:line="360" w:lineRule="auto"/>
        <w:jc w:val="left"/>
        <w:rPr>
          <w:rFonts w:hint="eastAsia" w:ascii="宋体" w:hAnsi="宋体" w:cs="宋体"/>
          <w:spacing w:val="24"/>
          <w:sz w:val="24"/>
          <w:szCs w:val="24"/>
          <w:highlight w:val="none"/>
        </w:rPr>
      </w:pPr>
      <w:r>
        <w:rPr>
          <w:rFonts w:hint="eastAsia" w:ascii="宋体" w:hAnsi="宋体" w:cs="宋体"/>
          <w:spacing w:val="24"/>
          <w:sz w:val="24"/>
          <w:szCs w:val="24"/>
          <w:highlight w:val="none"/>
        </w:rPr>
        <w:t>致</w:t>
      </w:r>
      <w:r>
        <w:rPr>
          <w:rFonts w:hint="eastAsia" w:ascii="宋体" w:hAnsi="宋体" w:cs="宋体"/>
          <w:spacing w:val="24"/>
          <w:sz w:val="24"/>
          <w:szCs w:val="24"/>
          <w:highlight w:val="none"/>
          <w:u w:val="single"/>
        </w:rPr>
        <w:t>（采购人）</w:t>
      </w:r>
      <w:r>
        <w:rPr>
          <w:rFonts w:hint="eastAsia" w:ascii="宋体" w:hAnsi="宋体" w:cs="宋体"/>
          <w:spacing w:val="24"/>
          <w:sz w:val="24"/>
          <w:szCs w:val="24"/>
          <w:highlight w:val="none"/>
        </w:rPr>
        <w:t>：</w:t>
      </w:r>
    </w:p>
    <w:p w14:paraId="3CCF163A">
      <w:pPr>
        <w:spacing w:line="360" w:lineRule="auto"/>
        <w:ind w:firstLine="480" w:firstLineChars="200"/>
        <w:jc w:val="left"/>
        <w:rPr>
          <w:rFonts w:hint="default" w:ascii="宋体" w:hAnsi="宋体" w:eastAsia="宋体" w:cs="宋体"/>
          <w:sz w:val="24"/>
          <w:szCs w:val="24"/>
          <w:highlight w:val="none"/>
          <w:u w:val="single"/>
          <w:lang w:val="en-US" w:eastAsia="zh-CN"/>
        </w:rPr>
      </w:pPr>
      <w:r>
        <w:rPr>
          <w:rFonts w:hint="eastAsia" w:ascii="宋体" w:hAnsi="宋体" w:cs="宋体"/>
          <w:sz w:val="24"/>
          <w:szCs w:val="24"/>
          <w:highlight w:val="none"/>
        </w:rPr>
        <w:t>根据已收到贵方的</w:t>
      </w:r>
      <w:r>
        <w:rPr>
          <w:rFonts w:hint="eastAsia" w:ascii="宋体" w:hAnsi="宋体" w:cs="宋体"/>
          <w:sz w:val="24"/>
          <w:szCs w:val="24"/>
          <w:highlight w:val="none"/>
          <w:u w:val="single"/>
        </w:rPr>
        <w:t xml:space="preserve">           </w:t>
      </w:r>
      <w:r>
        <w:rPr>
          <w:rFonts w:hint="eastAsia" w:ascii="宋体" w:hAnsi="宋体" w:cs="宋体"/>
          <w:sz w:val="24"/>
          <w:highlight w:val="none"/>
        </w:rPr>
        <w:t>（项目名称</w:t>
      </w:r>
      <w:r>
        <w:rPr>
          <w:rFonts w:hint="eastAsia" w:ascii="宋体" w:hAnsi="宋体" w:cs="宋体"/>
          <w:sz w:val="24"/>
          <w:highlight w:val="none"/>
          <w:lang w:eastAsia="zh-CN"/>
        </w:rPr>
        <w:t>、</w:t>
      </w:r>
      <w:r>
        <w:rPr>
          <w:rFonts w:hint="eastAsia" w:ascii="宋体" w:hAnsi="宋体" w:cs="宋体"/>
          <w:sz w:val="24"/>
          <w:highlight w:val="none"/>
          <w:lang w:val="en-US" w:eastAsia="zh-CN"/>
        </w:rPr>
        <w:t>标段</w:t>
      </w:r>
      <w:r>
        <w:rPr>
          <w:rFonts w:hint="eastAsia" w:ascii="宋体" w:hAnsi="宋体" w:cs="宋体"/>
          <w:sz w:val="24"/>
          <w:highlight w:val="none"/>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（项目编号）的竞争性磋商文件，遵照《中华人民共和国政府采购法》等有关规定，我单位经研究上述竞争性磋商文件的磋商须知、合同条款、</w:t>
      </w:r>
      <w:r>
        <w:rPr>
          <w:rFonts w:hint="eastAsia" w:ascii="宋体" w:hAnsi="宋体" w:cs="宋体"/>
          <w:sz w:val="24"/>
          <w:highlight w:val="none"/>
        </w:rPr>
        <w:t>技术参数</w:t>
      </w:r>
      <w:r>
        <w:rPr>
          <w:rFonts w:hint="eastAsia" w:ascii="宋体" w:hAnsi="宋体" w:cs="宋体"/>
          <w:sz w:val="24"/>
          <w:szCs w:val="24"/>
          <w:highlight w:val="none"/>
        </w:rPr>
        <w:t>及其它有关文件后，</w:t>
      </w:r>
      <w:r>
        <w:rPr>
          <w:rFonts w:hint="eastAsia" w:ascii="宋体" w:hAnsi="宋体" w:cs="宋体"/>
          <w:sz w:val="24"/>
          <w:szCs w:val="24"/>
          <w:highlight w:val="none"/>
          <w:lang w:eastAsia="zh-CN"/>
        </w:rPr>
        <w:t>愿</w:t>
      </w:r>
      <w:r>
        <w:rPr>
          <w:rFonts w:hint="eastAsia" w:ascii="宋体" w:hAnsi="宋体" w:cs="宋体"/>
          <w:sz w:val="24"/>
          <w:highlight w:val="none"/>
        </w:rPr>
        <w:t>按</w:t>
      </w:r>
      <w:r>
        <w:rPr>
          <w:rFonts w:hint="eastAsia" w:ascii="宋体" w:hAnsi="宋体" w:cs="宋体"/>
          <w:sz w:val="24"/>
          <w:highlight w:val="none"/>
          <w:lang w:eastAsia="zh-CN"/>
        </w:rPr>
        <w:t>竞争性磋商文件中的条款和要求，提供货物和服务，</w:t>
      </w:r>
      <w:r>
        <w:rPr>
          <w:rFonts w:hint="eastAsia" w:ascii="宋体" w:hAnsi="宋体" w:cs="宋体"/>
          <w:sz w:val="24"/>
          <w:szCs w:val="24"/>
          <w:highlight w:val="none"/>
          <w:lang w:eastAsia="zh-CN"/>
        </w:rPr>
        <w:t>报价为</w:t>
      </w:r>
      <w:r>
        <w:rPr>
          <w:rFonts w:hint="eastAsia" w:ascii="宋体" w:hAnsi="宋体" w:cs="宋体"/>
          <w:sz w:val="24"/>
          <w:szCs w:val="24"/>
          <w:highlight w:val="none"/>
        </w:rPr>
        <w:t>（大写）：</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（小写：</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r>
        <w:rPr>
          <w:rFonts w:hint="eastAsia" w:ascii="宋体" w:hAnsi="宋体" w:cs="宋体"/>
          <w:sz w:val="24"/>
          <w:szCs w:val="24"/>
          <w:highlight w:val="none"/>
          <w:lang w:eastAsia="zh-CN"/>
        </w:rPr>
        <w:t>交货期</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u w:val="none"/>
          <w:lang w:eastAsia="zh-CN"/>
        </w:rPr>
        <w:t>，</w:t>
      </w:r>
      <w:r>
        <w:rPr>
          <w:rFonts w:hint="eastAsia" w:ascii="宋体" w:hAnsi="宋体"/>
          <w:sz w:val="24"/>
          <w:szCs w:val="24"/>
          <w:highlight w:val="none"/>
          <w:lang w:val="en-US" w:eastAsia="zh-CN"/>
        </w:rPr>
        <w:t>质保期</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lang w:eastAsia="zh-CN"/>
        </w:rPr>
        <w:t>，</w:t>
      </w:r>
      <w:r>
        <w:rPr>
          <w:rFonts w:hint="eastAsia" w:ascii="宋体" w:hAnsi="宋体" w:cs="宋体"/>
          <w:sz w:val="24"/>
          <w:szCs w:val="24"/>
          <w:highlight w:val="none"/>
        </w:rPr>
        <w:t>质量标准</w:t>
      </w:r>
      <w:r>
        <w:rPr>
          <w:rFonts w:hint="eastAsia" w:ascii="宋体" w:hAnsi="宋体" w:cs="宋体"/>
          <w:sz w:val="24"/>
          <w:szCs w:val="24"/>
          <w:highlight w:val="none"/>
          <w:lang w:eastAsia="zh-CN"/>
        </w:rPr>
        <w:t>：</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none"/>
          <w:lang w:val="en-US" w:eastAsia="zh-CN"/>
        </w:rPr>
        <w:t>。</w:t>
      </w:r>
    </w:p>
    <w:p w14:paraId="5C4B0936">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我方已详细审核全部竞争性磋商文件，包括修改文件（如有）及有关附件，已充分理解并掌握了本磋商项目的全部有关情况，认为竞争性磋商文件符合法律、法规的要求，充分体现了公开、公平、公正和诚实信用原则，我方对竞争性磋商文件没有任何异议。同意接受竞争性磋商文件的全部内容和条件。</w:t>
      </w:r>
    </w:p>
    <w:p w14:paraId="685D2320">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如我方确定为成交供应商，我方承诺在收到成交通知书后，在成交通知书规定的期限内，根据竞争性磋商文件、我方的磋商响应文件及有关澄清承诺书的要求，与采购人订立书面合同，并按照合同约定承担完成合同的责任和义务。</w:t>
      </w:r>
    </w:p>
    <w:p w14:paraId="478DF2A7">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3、我方愿在成交后按照竞争性磋商文件规定的时间和金额向采购人交纳履约保证金</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如有）</w:t>
      </w:r>
      <w:r>
        <w:rPr>
          <w:rFonts w:hint="eastAsia" w:ascii="宋体" w:hAnsi="宋体" w:cs="宋体"/>
          <w:sz w:val="24"/>
          <w:szCs w:val="24"/>
          <w:highlight w:val="none"/>
        </w:rPr>
        <w:t>。</w:t>
      </w:r>
    </w:p>
    <w:p w14:paraId="24A6B6D4">
      <w:pPr>
        <w:spacing w:line="360" w:lineRule="auto"/>
        <w:ind w:firstLine="480" w:firstLineChars="200"/>
        <w:rPr>
          <w:rFonts w:hint="eastAsia" w:ascii="宋体" w:hAnsi="宋体" w:cs="宋体"/>
          <w:kern w:val="0"/>
          <w:sz w:val="24"/>
          <w:szCs w:val="24"/>
          <w:highlight w:val="none"/>
        </w:rPr>
      </w:pPr>
      <w:r>
        <w:rPr>
          <w:rFonts w:hint="eastAsia" w:ascii="宋体" w:hAnsi="宋体" w:cs="宋体"/>
          <w:sz w:val="24"/>
          <w:szCs w:val="24"/>
          <w:highlight w:val="none"/>
        </w:rPr>
        <w:t>4、</w:t>
      </w:r>
      <w:r>
        <w:rPr>
          <w:rFonts w:hint="eastAsia" w:ascii="宋体" w:hAnsi="宋体" w:cs="宋体"/>
          <w:kern w:val="0"/>
          <w:sz w:val="24"/>
          <w:szCs w:val="24"/>
          <w:highlight w:val="none"/>
        </w:rPr>
        <w:t>我方同意自本项目</w:t>
      </w:r>
      <w:r>
        <w:rPr>
          <w:rFonts w:hint="eastAsia" w:ascii="宋体" w:hAnsi="宋体" w:cs="宋体"/>
          <w:sz w:val="24"/>
          <w:szCs w:val="24"/>
          <w:highlight w:val="none"/>
        </w:rPr>
        <w:t>竞争性磋商</w:t>
      </w:r>
      <w:r>
        <w:rPr>
          <w:rFonts w:hint="eastAsia" w:ascii="宋体" w:hAnsi="宋体" w:cs="宋体"/>
          <w:kern w:val="0"/>
          <w:sz w:val="24"/>
          <w:szCs w:val="24"/>
          <w:highlight w:val="none"/>
        </w:rPr>
        <w:t>文件中规定的磋商有效期内有效，并承诺在磋商有效期内不修改、撤回磋商响应文件。</w:t>
      </w:r>
    </w:p>
    <w:p w14:paraId="4D2D8AD0">
      <w:pPr>
        <w:spacing w:line="360" w:lineRule="auto"/>
        <w:ind w:firstLine="480" w:firstLineChars="200"/>
        <w:rPr>
          <w:rFonts w:hint="eastAsia" w:ascii="宋体" w:hAnsi="宋体" w:cs="宋体"/>
          <w:kern w:val="0"/>
          <w:sz w:val="24"/>
          <w:szCs w:val="24"/>
          <w:highlight w:val="none"/>
        </w:rPr>
      </w:pPr>
      <w:r>
        <w:rPr>
          <w:rFonts w:hint="eastAsia" w:ascii="宋体" w:hAnsi="宋体" w:cs="宋体"/>
          <w:sz w:val="24"/>
          <w:szCs w:val="24"/>
          <w:highlight w:val="none"/>
        </w:rPr>
        <w:t>5、</w:t>
      </w:r>
      <w:r>
        <w:rPr>
          <w:rFonts w:hint="eastAsia" w:ascii="宋体" w:hAnsi="宋体" w:cs="宋体"/>
          <w:kern w:val="0"/>
          <w:sz w:val="24"/>
          <w:szCs w:val="24"/>
          <w:highlight w:val="none"/>
        </w:rPr>
        <w:t>我方完全理解贵方不一定接受磋商报价最低的供应商为成交供应商的行为。</w:t>
      </w:r>
    </w:p>
    <w:p w14:paraId="0CC8F679">
      <w:pPr>
        <w:spacing w:line="360" w:lineRule="auto"/>
        <w:ind w:firstLine="480" w:firstLineChars="200"/>
        <w:rPr>
          <w:rFonts w:hint="eastAsia" w:ascii="宋体" w:hAnsi="宋体" w:cs="宋体"/>
          <w:kern w:val="0"/>
          <w:sz w:val="24"/>
          <w:szCs w:val="24"/>
          <w:highlight w:val="none"/>
        </w:rPr>
      </w:pPr>
      <w:r>
        <w:rPr>
          <w:rFonts w:hint="eastAsia" w:ascii="宋体" w:hAnsi="宋体" w:cs="宋体"/>
          <w:sz w:val="24"/>
          <w:szCs w:val="24"/>
          <w:highlight w:val="none"/>
        </w:rPr>
        <w:t>6、</w:t>
      </w:r>
      <w:r>
        <w:rPr>
          <w:rFonts w:hint="eastAsia" w:ascii="宋体" w:hAnsi="宋体" w:cs="宋体"/>
          <w:kern w:val="0"/>
          <w:sz w:val="24"/>
          <w:szCs w:val="24"/>
          <w:highlight w:val="none"/>
        </w:rPr>
        <w:t>我方在此声明，所递交的磋商响应文件及有关资料内容完整、真实和准确。</w:t>
      </w:r>
    </w:p>
    <w:p w14:paraId="0A40C08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w:t>
      </w:r>
      <w:r>
        <w:rPr>
          <w:rFonts w:hint="eastAsia" w:ascii="宋体" w:hAnsi="宋体" w:eastAsia="宋体" w:cs="宋体"/>
          <w:color w:val="auto"/>
          <w:sz w:val="24"/>
          <w:highlight w:val="none"/>
          <w:lang w:eastAsia="zh-CN"/>
        </w:rPr>
        <w:t>公</w:t>
      </w:r>
      <w:r>
        <w:rPr>
          <w:rFonts w:hint="eastAsia" w:ascii="宋体" w:hAnsi="宋体" w:eastAsia="宋体" w:cs="宋体"/>
          <w:color w:val="auto"/>
          <w:sz w:val="24"/>
          <w:highlight w:val="none"/>
        </w:rPr>
        <w:t>章）</w:t>
      </w:r>
    </w:p>
    <w:p w14:paraId="08F283AB">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电子</w:t>
      </w:r>
      <w:r>
        <w:rPr>
          <w:rFonts w:hint="eastAsia" w:ascii="宋体" w:hAnsi="宋体" w:eastAsia="宋体" w:cs="宋体"/>
          <w:color w:val="auto"/>
          <w:sz w:val="24"/>
          <w:highlight w:val="none"/>
        </w:rPr>
        <w:t>签章）</w:t>
      </w:r>
    </w:p>
    <w:p w14:paraId="1064BC06">
      <w:pPr>
        <w:spacing w:line="360" w:lineRule="auto"/>
        <w:ind w:firstLine="3840" w:firstLineChars="16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p>
    <w:p w14:paraId="6C51197D">
      <w:pPr>
        <w:spacing w:line="360" w:lineRule="auto"/>
        <w:ind w:firstLine="3840" w:firstLineChars="1600"/>
        <w:jc w:val="both"/>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 xml:space="preserve">联系人： </w:t>
      </w:r>
      <w:r>
        <w:rPr>
          <w:rFonts w:hint="eastAsia" w:ascii="宋体" w:hAnsi="宋体" w:eastAsia="宋体" w:cs="宋体"/>
          <w:color w:val="auto"/>
          <w:sz w:val="24"/>
          <w:highlight w:val="none"/>
          <w:u w:val="single"/>
          <w:lang w:val="en-US" w:eastAsia="zh-CN"/>
        </w:rPr>
        <w:t xml:space="preserve">                         </w:t>
      </w:r>
    </w:p>
    <w:p w14:paraId="0AE0B59D">
      <w:pPr>
        <w:spacing w:line="360" w:lineRule="auto"/>
        <w:ind w:firstLine="3840" w:firstLineChars="1600"/>
        <w:jc w:val="both"/>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single"/>
        </w:rPr>
        <w:t xml:space="preserve">                             </w:t>
      </w:r>
    </w:p>
    <w:p w14:paraId="5983AA0A">
      <w:pPr>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lang w:val="en-US" w:eastAsia="zh-CN"/>
        </w:rPr>
        <w:t xml:space="preserve">日期：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月</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w:t>
      </w:r>
    </w:p>
    <w:p w14:paraId="331B2A71">
      <w:pPr>
        <w:jc w:val="center"/>
        <w:rPr>
          <w:rFonts w:hint="eastAsia" w:ascii="宋体" w:hAnsi="宋体" w:cs="宋体"/>
          <w:b/>
          <w:bCs/>
          <w:kern w:val="0"/>
          <w:sz w:val="32"/>
          <w:szCs w:val="32"/>
          <w:highlight w:val="none"/>
        </w:rPr>
      </w:pPr>
      <w:r>
        <w:rPr>
          <w:rFonts w:hint="eastAsia" w:ascii="宋体" w:hAnsi="宋体" w:cs="宋体"/>
          <w:b/>
          <w:bCs/>
          <w:kern w:val="0"/>
          <w:sz w:val="28"/>
          <w:szCs w:val="28"/>
          <w:highlight w:val="none"/>
        </w:rPr>
        <w:t>（二）磋商</w:t>
      </w:r>
      <w:r>
        <w:rPr>
          <w:rFonts w:hint="eastAsia" w:ascii="宋体" w:hAnsi="宋体" w:cs="宋体"/>
          <w:b/>
          <w:bCs/>
          <w:sz w:val="28"/>
          <w:szCs w:val="28"/>
          <w:highlight w:val="none"/>
        </w:rPr>
        <w:t>函附录</w:t>
      </w:r>
    </w:p>
    <w:tbl>
      <w:tblPr>
        <w:tblStyle w:val="23"/>
        <w:tblW w:w="8879" w:type="dxa"/>
        <w:jc w:val="center"/>
        <w:tblLayout w:type="fixed"/>
        <w:tblCellMar>
          <w:top w:w="0" w:type="dxa"/>
          <w:left w:w="0" w:type="dxa"/>
          <w:bottom w:w="0" w:type="dxa"/>
          <w:right w:w="0" w:type="dxa"/>
        </w:tblCellMar>
      </w:tblPr>
      <w:tblGrid>
        <w:gridCol w:w="2268"/>
        <w:gridCol w:w="6611"/>
      </w:tblGrid>
      <w:tr w14:paraId="67697B8A">
        <w:tblPrEx>
          <w:tblCellMar>
            <w:top w:w="0" w:type="dxa"/>
            <w:left w:w="0" w:type="dxa"/>
            <w:bottom w:w="0" w:type="dxa"/>
            <w:right w:w="0" w:type="dxa"/>
          </w:tblCellMar>
        </w:tblPrEx>
        <w:trPr>
          <w:trHeight w:val="1039"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14:paraId="4E36786C">
            <w:pPr>
              <w:autoSpaceDE w:val="0"/>
              <w:autoSpaceDN w:val="0"/>
              <w:spacing w:line="500" w:lineRule="exact"/>
              <w:jc w:val="center"/>
              <w:rPr>
                <w:rFonts w:hint="eastAsia" w:ascii="宋体" w:hAnsi="宋体" w:cs="宋体"/>
                <w:kern w:val="0"/>
                <w:sz w:val="24"/>
                <w:szCs w:val="24"/>
                <w:highlight w:val="none"/>
              </w:rPr>
            </w:pPr>
            <w:r>
              <w:rPr>
                <w:rFonts w:hint="eastAsia" w:ascii="宋体" w:hAnsi="宋体"/>
                <w:kern w:val="0"/>
                <w:sz w:val="24"/>
                <w:szCs w:val="24"/>
                <w:highlight w:val="none"/>
              </w:rPr>
              <w:t>项目名称</w:t>
            </w:r>
          </w:p>
        </w:tc>
        <w:tc>
          <w:tcPr>
            <w:tcW w:w="6611" w:type="dxa"/>
            <w:tcBorders>
              <w:top w:val="single" w:color="auto" w:sz="4" w:space="0"/>
              <w:left w:val="nil"/>
              <w:bottom w:val="single" w:color="auto" w:sz="4" w:space="0"/>
              <w:right w:val="single" w:color="auto" w:sz="4" w:space="0"/>
            </w:tcBorders>
            <w:noWrap w:val="0"/>
            <w:vAlign w:val="center"/>
          </w:tcPr>
          <w:p w14:paraId="78E05C67">
            <w:pPr>
              <w:autoSpaceDE w:val="0"/>
              <w:autoSpaceDN w:val="0"/>
              <w:spacing w:line="500" w:lineRule="exact"/>
              <w:jc w:val="both"/>
              <w:rPr>
                <w:rFonts w:hint="default" w:ascii="宋体" w:hAnsi="宋体" w:eastAsia="宋体" w:cs="宋体"/>
                <w:kern w:val="0"/>
                <w:sz w:val="24"/>
                <w:szCs w:val="24"/>
                <w:highlight w:val="none"/>
                <w:u w:val="single"/>
                <w:lang w:val="en-US" w:eastAsia="zh-CN"/>
              </w:rPr>
            </w:pPr>
          </w:p>
        </w:tc>
      </w:tr>
      <w:tr w14:paraId="70972D12">
        <w:tblPrEx>
          <w:tblCellMar>
            <w:top w:w="0" w:type="dxa"/>
            <w:left w:w="0" w:type="dxa"/>
            <w:bottom w:w="0" w:type="dxa"/>
            <w:right w:w="0" w:type="dxa"/>
          </w:tblCellMar>
        </w:tblPrEx>
        <w:trPr>
          <w:trHeight w:val="1026"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14:paraId="789B869E">
            <w:pPr>
              <w:autoSpaceDE w:val="0"/>
              <w:autoSpaceDN w:val="0"/>
              <w:spacing w:line="500" w:lineRule="exact"/>
              <w:jc w:val="center"/>
              <w:rPr>
                <w:rFonts w:hint="eastAsia" w:ascii="宋体" w:hAnsi="宋体" w:eastAsiaTheme="minorEastAsia"/>
                <w:kern w:val="0"/>
                <w:sz w:val="24"/>
                <w:szCs w:val="24"/>
                <w:highlight w:val="none"/>
                <w:lang w:eastAsia="zh-CN"/>
              </w:rPr>
            </w:pPr>
            <w:r>
              <w:rPr>
                <w:rFonts w:hint="eastAsia" w:ascii="宋体" w:hAnsi="宋体"/>
                <w:kern w:val="0"/>
                <w:sz w:val="24"/>
                <w:szCs w:val="24"/>
                <w:highlight w:val="none"/>
                <w:lang w:val="en-US" w:eastAsia="zh-CN"/>
              </w:rPr>
              <w:t>标段</w:t>
            </w:r>
            <w:r>
              <w:rPr>
                <w:rFonts w:hint="eastAsia" w:ascii="宋体" w:hAnsi="宋体"/>
                <w:kern w:val="0"/>
                <w:sz w:val="24"/>
                <w:szCs w:val="24"/>
                <w:highlight w:val="none"/>
                <w:lang w:eastAsia="zh-CN"/>
              </w:rPr>
              <w:t>名称</w:t>
            </w:r>
          </w:p>
        </w:tc>
        <w:tc>
          <w:tcPr>
            <w:tcW w:w="6611" w:type="dxa"/>
            <w:tcBorders>
              <w:top w:val="single" w:color="auto" w:sz="4" w:space="0"/>
              <w:left w:val="nil"/>
              <w:bottom w:val="single" w:color="auto" w:sz="4" w:space="0"/>
              <w:right w:val="single" w:color="auto" w:sz="4" w:space="0"/>
            </w:tcBorders>
            <w:noWrap w:val="0"/>
            <w:vAlign w:val="center"/>
          </w:tcPr>
          <w:p w14:paraId="40F3F271">
            <w:pPr>
              <w:autoSpaceDE w:val="0"/>
              <w:autoSpaceDN w:val="0"/>
              <w:spacing w:line="500" w:lineRule="exact"/>
              <w:jc w:val="center"/>
              <w:rPr>
                <w:rFonts w:hint="eastAsia" w:ascii="宋体" w:hAnsi="宋体" w:cs="宋体"/>
                <w:kern w:val="0"/>
                <w:sz w:val="24"/>
                <w:szCs w:val="24"/>
                <w:highlight w:val="none"/>
              </w:rPr>
            </w:pPr>
          </w:p>
        </w:tc>
      </w:tr>
      <w:tr w14:paraId="3598846E">
        <w:tblPrEx>
          <w:tblCellMar>
            <w:top w:w="0" w:type="dxa"/>
            <w:left w:w="0" w:type="dxa"/>
            <w:bottom w:w="0" w:type="dxa"/>
            <w:right w:w="0" w:type="dxa"/>
          </w:tblCellMar>
        </w:tblPrEx>
        <w:trPr>
          <w:trHeight w:val="1026"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14:paraId="6692319A">
            <w:pPr>
              <w:autoSpaceDE w:val="0"/>
              <w:autoSpaceDN w:val="0"/>
              <w:spacing w:line="500" w:lineRule="exact"/>
              <w:jc w:val="center"/>
              <w:rPr>
                <w:rFonts w:hint="eastAsia" w:ascii="宋体" w:hAnsi="宋体" w:cs="宋体"/>
                <w:kern w:val="0"/>
                <w:sz w:val="24"/>
                <w:szCs w:val="24"/>
                <w:highlight w:val="none"/>
              </w:rPr>
            </w:pPr>
            <w:r>
              <w:rPr>
                <w:rFonts w:hint="eastAsia" w:ascii="宋体" w:hAnsi="宋体"/>
                <w:kern w:val="0"/>
                <w:sz w:val="24"/>
                <w:szCs w:val="24"/>
                <w:highlight w:val="none"/>
              </w:rPr>
              <w:t>磋商响应供应商</w:t>
            </w:r>
          </w:p>
        </w:tc>
        <w:tc>
          <w:tcPr>
            <w:tcW w:w="6611" w:type="dxa"/>
            <w:tcBorders>
              <w:top w:val="single" w:color="auto" w:sz="4" w:space="0"/>
              <w:left w:val="nil"/>
              <w:bottom w:val="single" w:color="auto" w:sz="4" w:space="0"/>
              <w:right w:val="single" w:color="auto" w:sz="4" w:space="0"/>
            </w:tcBorders>
            <w:noWrap w:val="0"/>
            <w:vAlign w:val="center"/>
          </w:tcPr>
          <w:p w14:paraId="3D585055">
            <w:pPr>
              <w:autoSpaceDE w:val="0"/>
              <w:autoSpaceDN w:val="0"/>
              <w:spacing w:line="500" w:lineRule="exact"/>
              <w:jc w:val="center"/>
              <w:rPr>
                <w:rFonts w:hint="eastAsia" w:ascii="宋体" w:hAnsi="宋体" w:cs="宋体"/>
                <w:kern w:val="0"/>
                <w:sz w:val="24"/>
                <w:szCs w:val="24"/>
                <w:highlight w:val="none"/>
              </w:rPr>
            </w:pPr>
          </w:p>
        </w:tc>
      </w:tr>
      <w:tr w14:paraId="5035A8FB">
        <w:tblPrEx>
          <w:tblCellMar>
            <w:top w:w="0" w:type="dxa"/>
            <w:left w:w="0" w:type="dxa"/>
            <w:bottom w:w="0" w:type="dxa"/>
            <w:right w:w="0" w:type="dxa"/>
          </w:tblCellMar>
        </w:tblPrEx>
        <w:trPr>
          <w:trHeight w:val="1124"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14:paraId="269BC530">
            <w:pPr>
              <w:autoSpaceDE w:val="0"/>
              <w:autoSpaceDN w:val="0"/>
              <w:spacing w:line="500" w:lineRule="exact"/>
              <w:jc w:val="center"/>
              <w:rPr>
                <w:rFonts w:hint="eastAsia" w:ascii="宋体" w:hAnsi="宋体" w:eastAsia="宋体" w:cs="宋体"/>
                <w:kern w:val="0"/>
                <w:sz w:val="24"/>
                <w:szCs w:val="24"/>
                <w:highlight w:val="none"/>
                <w:lang w:eastAsia="zh-CN"/>
              </w:rPr>
            </w:pPr>
            <w:r>
              <w:rPr>
                <w:rFonts w:hint="eastAsia" w:ascii="宋体" w:hAnsi="宋体"/>
                <w:kern w:val="0"/>
                <w:sz w:val="24"/>
                <w:szCs w:val="24"/>
                <w:highlight w:val="none"/>
              </w:rPr>
              <w:t>磋商</w:t>
            </w:r>
            <w:r>
              <w:rPr>
                <w:rFonts w:hint="eastAsia" w:ascii="宋体" w:hAnsi="宋体"/>
                <w:kern w:val="0"/>
                <w:sz w:val="24"/>
                <w:szCs w:val="24"/>
                <w:highlight w:val="none"/>
                <w:lang w:eastAsia="zh-CN"/>
              </w:rPr>
              <w:t>报价</w:t>
            </w:r>
          </w:p>
        </w:tc>
        <w:tc>
          <w:tcPr>
            <w:tcW w:w="6611" w:type="dxa"/>
            <w:tcBorders>
              <w:top w:val="single" w:color="auto" w:sz="4" w:space="0"/>
              <w:left w:val="nil"/>
              <w:bottom w:val="single" w:color="auto" w:sz="4" w:space="0"/>
              <w:right w:val="single" w:color="auto" w:sz="4" w:space="0"/>
            </w:tcBorders>
            <w:noWrap w:val="0"/>
            <w:vAlign w:val="center"/>
          </w:tcPr>
          <w:p w14:paraId="32B1679E">
            <w:pPr>
              <w:autoSpaceDE w:val="0"/>
              <w:autoSpaceDN w:val="0"/>
              <w:spacing w:line="500" w:lineRule="exact"/>
              <w:ind w:firstLine="120" w:firstLineChars="50"/>
              <w:rPr>
                <w:rFonts w:ascii="宋体" w:hAnsi="宋体"/>
                <w:kern w:val="0"/>
                <w:sz w:val="24"/>
                <w:szCs w:val="24"/>
                <w:highlight w:val="none"/>
                <w:u w:val="single"/>
              </w:rPr>
            </w:pPr>
            <w:r>
              <w:rPr>
                <w:rFonts w:hint="eastAsia" w:ascii="宋体" w:hAnsi="宋体"/>
                <w:kern w:val="0"/>
                <w:sz w:val="24"/>
                <w:szCs w:val="24"/>
                <w:highlight w:val="none"/>
              </w:rPr>
              <w:t>人民币（大写）：</w:t>
            </w:r>
          </w:p>
          <w:p w14:paraId="1C06E766">
            <w:pPr>
              <w:autoSpaceDE w:val="0"/>
              <w:autoSpaceDN w:val="0"/>
              <w:spacing w:line="500" w:lineRule="exact"/>
              <w:ind w:firstLine="960" w:firstLineChars="400"/>
              <w:rPr>
                <w:rFonts w:hint="eastAsia" w:ascii="宋体" w:hAnsi="宋体" w:eastAsia="宋体" w:cs="宋体"/>
                <w:kern w:val="0"/>
                <w:sz w:val="24"/>
                <w:szCs w:val="24"/>
                <w:highlight w:val="none"/>
                <w:lang w:eastAsia="zh-CN"/>
              </w:rPr>
            </w:pPr>
            <w:r>
              <w:rPr>
                <w:rFonts w:hint="eastAsia" w:ascii="宋体" w:hAnsi="宋体"/>
                <w:kern w:val="0"/>
                <w:sz w:val="24"/>
                <w:szCs w:val="24"/>
                <w:highlight w:val="none"/>
              </w:rPr>
              <w:t>（小写）：￥</w:t>
            </w:r>
          </w:p>
        </w:tc>
      </w:tr>
      <w:tr w14:paraId="3AB82532">
        <w:tblPrEx>
          <w:tblCellMar>
            <w:top w:w="0" w:type="dxa"/>
            <w:left w:w="0" w:type="dxa"/>
            <w:bottom w:w="0" w:type="dxa"/>
            <w:right w:w="0" w:type="dxa"/>
          </w:tblCellMar>
        </w:tblPrEx>
        <w:trPr>
          <w:trHeight w:val="860"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14:paraId="11D1A8BD">
            <w:pPr>
              <w:autoSpaceDE w:val="0"/>
              <w:autoSpaceDN w:val="0"/>
              <w:spacing w:line="500" w:lineRule="exact"/>
              <w:jc w:val="center"/>
              <w:rPr>
                <w:rFonts w:ascii="宋体" w:hAnsi="宋体" w:cs="宋体"/>
                <w:kern w:val="0"/>
                <w:sz w:val="24"/>
                <w:szCs w:val="24"/>
                <w:highlight w:val="none"/>
              </w:rPr>
            </w:pPr>
            <w:r>
              <w:rPr>
                <w:rFonts w:hint="eastAsia" w:ascii="宋体" w:hAnsi="宋体" w:cs="宋体"/>
                <w:color w:val="auto"/>
                <w:sz w:val="24"/>
                <w:szCs w:val="24"/>
                <w:highlight w:val="none"/>
                <w:lang w:val="en-US" w:eastAsia="zh-CN"/>
              </w:rPr>
              <w:t>交货期</w:t>
            </w:r>
          </w:p>
        </w:tc>
        <w:tc>
          <w:tcPr>
            <w:tcW w:w="6611" w:type="dxa"/>
            <w:tcBorders>
              <w:top w:val="single" w:color="auto" w:sz="4" w:space="0"/>
              <w:left w:val="nil"/>
              <w:bottom w:val="single" w:color="auto" w:sz="4" w:space="0"/>
              <w:right w:val="single" w:color="auto" w:sz="4" w:space="0"/>
            </w:tcBorders>
            <w:noWrap w:val="0"/>
            <w:vAlign w:val="center"/>
          </w:tcPr>
          <w:p w14:paraId="3ADEDAB5">
            <w:pPr>
              <w:autoSpaceDE w:val="0"/>
              <w:autoSpaceDN w:val="0"/>
              <w:spacing w:line="500" w:lineRule="exact"/>
              <w:ind w:firstLine="120" w:firstLineChars="50"/>
              <w:rPr>
                <w:rFonts w:hint="eastAsia" w:ascii="宋体" w:hAnsi="宋体" w:cs="宋体"/>
                <w:kern w:val="0"/>
                <w:sz w:val="24"/>
                <w:szCs w:val="24"/>
                <w:highlight w:val="none"/>
              </w:rPr>
            </w:pPr>
          </w:p>
        </w:tc>
      </w:tr>
      <w:tr w14:paraId="7E0C32B1">
        <w:tblPrEx>
          <w:tblCellMar>
            <w:top w:w="0" w:type="dxa"/>
            <w:left w:w="0" w:type="dxa"/>
            <w:bottom w:w="0" w:type="dxa"/>
            <w:right w:w="0" w:type="dxa"/>
          </w:tblCellMar>
        </w:tblPrEx>
        <w:trPr>
          <w:trHeight w:val="1001"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14:paraId="76739C95">
            <w:pPr>
              <w:autoSpaceDE w:val="0"/>
              <w:autoSpaceDN w:val="0"/>
              <w:spacing w:line="500" w:lineRule="exact"/>
              <w:jc w:val="cente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质保期</w:t>
            </w:r>
          </w:p>
        </w:tc>
        <w:tc>
          <w:tcPr>
            <w:tcW w:w="6611" w:type="dxa"/>
            <w:tcBorders>
              <w:top w:val="single" w:color="auto" w:sz="4" w:space="0"/>
              <w:left w:val="nil"/>
              <w:bottom w:val="single" w:color="auto" w:sz="4" w:space="0"/>
              <w:right w:val="single" w:color="auto" w:sz="4" w:space="0"/>
            </w:tcBorders>
            <w:noWrap w:val="0"/>
            <w:vAlign w:val="center"/>
          </w:tcPr>
          <w:p w14:paraId="0BE61CD1">
            <w:pPr>
              <w:autoSpaceDE w:val="0"/>
              <w:autoSpaceDN w:val="0"/>
              <w:spacing w:line="500" w:lineRule="exact"/>
              <w:ind w:firstLine="120" w:firstLineChars="50"/>
              <w:rPr>
                <w:rFonts w:hint="eastAsia" w:ascii="宋体" w:hAnsi="宋体" w:cs="宋体"/>
                <w:kern w:val="0"/>
                <w:sz w:val="24"/>
                <w:szCs w:val="24"/>
                <w:highlight w:val="none"/>
              </w:rPr>
            </w:pPr>
          </w:p>
        </w:tc>
      </w:tr>
      <w:tr w14:paraId="2FF014BF">
        <w:tblPrEx>
          <w:tblCellMar>
            <w:top w:w="0" w:type="dxa"/>
            <w:left w:w="0" w:type="dxa"/>
            <w:bottom w:w="0" w:type="dxa"/>
            <w:right w:w="0" w:type="dxa"/>
          </w:tblCellMar>
        </w:tblPrEx>
        <w:trPr>
          <w:trHeight w:val="907"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14:paraId="5151128C">
            <w:pPr>
              <w:autoSpaceDE w:val="0"/>
              <w:autoSpaceDN w:val="0"/>
              <w:spacing w:line="500" w:lineRule="exact"/>
              <w:jc w:val="center"/>
              <w:rPr>
                <w:rFonts w:hint="eastAsia" w:ascii="宋体" w:hAnsi="宋体" w:cs="宋体"/>
                <w:kern w:val="0"/>
                <w:sz w:val="24"/>
                <w:szCs w:val="24"/>
                <w:highlight w:val="none"/>
              </w:rPr>
            </w:pPr>
            <w:r>
              <w:rPr>
                <w:rFonts w:hint="eastAsia" w:ascii="宋体" w:hAnsi="宋体" w:cs="宋体"/>
                <w:sz w:val="24"/>
                <w:szCs w:val="24"/>
                <w:highlight w:val="none"/>
              </w:rPr>
              <w:t>质量标准</w:t>
            </w:r>
          </w:p>
        </w:tc>
        <w:tc>
          <w:tcPr>
            <w:tcW w:w="6611" w:type="dxa"/>
            <w:tcBorders>
              <w:top w:val="single" w:color="auto" w:sz="4" w:space="0"/>
              <w:left w:val="nil"/>
              <w:bottom w:val="single" w:color="auto" w:sz="4" w:space="0"/>
              <w:right w:val="single" w:color="auto" w:sz="4" w:space="0"/>
            </w:tcBorders>
            <w:noWrap w:val="0"/>
            <w:vAlign w:val="center"/>
          </w:tcPr>
          <w:p w14:paraId="6918C8D1">
            <w:pPr>
              <w:autoSpaceDE w:val="0"/>
              <w:autoSpaceDN w:val="0"/>
              <w:spacing w:line="500" w:lineRule="exact"/>
              <w:jc w:val="center"/>
              <w:rPr>
                <w:rFonts w:hint="eastAsia" w:ascii="宋体" w:hAnsi="宋体" w:cs="宋体"/>
                <w:kern w:val="0"/>
                <w:sz w:val="24"/>
                <w:szCs w:val="24"/>
                <w:highlight w:val="none"/>
              </w:rPr>
            </w:pPr>
          </w:p>
        </w:tc>
      </w:tr>
      <w:tr w14:paraId="7DA0871A">
        <w:tblPrEx>
          <w:tblCellMar>
            <w:top w:w="0" w:type="dxa"/>
            <w:left w:w="0" w:type="dxa"/>
            <w:bottom w:w="0" w:type="dxa"/>
            <w:right w:w="0" w:type="dxa"/>
          </w:tblCellMar>
        </w:tblPrEx>
        <w:trPr>
          <w:trHeight w:val="992"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14:paraId="6F687D47">
            <w:pPr>
              <w:autoSpaceDE w:val="0"/>
              <w:autoSpaceDN w:val="0"/>
              <w:spacing w:line="500" w:lineRule="exact"/>
              <w:jc w:val="center"/>
              <w:rPr>
                <w:rFonts w:hint="eastAsia" w:ascii="宋体" w:hAnsi="宋体"/>
                <w:kern w:val="0"/>
                <w:sz w:val="24"/>
                <w:szCs w:val="24"/>
                <w:highlight w:val="none"/>
              </w:rPr>
            </w:pPr>
            <w:r>
              <w:rPr>
                <w:rFonts w:hint="eastAsia" w:ascii="宋体" w:hAnsi="宋体"/>
                <w:kern w:val="0"/>
                <w:sz w:val="24"/>
                <w:szCs w:val="24"/>
                <w:highlight w:val="none"/>
              </w:rPr>
              <w:t>磋商有效期</w:t>
            </w:r>
          </w:p>
        </w:tc>
        <w:tc>
          <w:tcPr>
            <w:tcW w:w="6611" w:type="dxa"/>
            <w:tcBorders>
              <w:top w:val="single" w:color="auto" w:sz="4" w:space="0"/>
              <w:left w:val="nil"/>
              <w:bottom w:val="single" w:color="auto" w:sz="4" w:space="0"/>
              <w:right w:val="single" w:color="auto" w:sz="4" w:space="0"/>
            </w:tcBorders>
            <w:noWrap w:val="0"/>
            <w:vAlign w:val="center"/>
          </w:tcPr>
          <w:p w14:paraId="26CDAA8C">
            <w:pPr>
              <w:autoSpaceDE w:val="0"/>
              <w:autoSpaceDN w:val="0"/>
              <w:spacing w:line="500" w:lineRule="exact"/>
              <w:jc w:val="both"/>
              <w:rPr>
                <w:rFonts w:hint="eastAsia" w:ascii="宋体" w:hAnsi="宋体" w:cs="宋体"/>
                <w:kern w:val="0"/>
                <w:sz w:val="24"/>
                <w:szCs w:val="24"/>
                <w:highlight w:val="none"/>
              </w:rPr>
            </w:pPr>
            <w:r>
              <w:rPr>
                <w:rFonts w:hint="eastAsia" w:ascii="宋体" w:hAnsi="宋体" w:cs="宋体"/>
                <w:kern w:val="10"/>
                <w:sz w:val="24"/>
                <w:szCs w:val="24"/>
                <w:highlight w:val="none"/>
              </w:rPr>
              <w:t>提交响应文件截止时间后60日历天，有效期短于该期限的</w:t>
            </w:r>
            <w:r>
              <w:rPr>
                <w:rFonts w:hint="eastAsia" w:ascii="宋体" w:hAnsi="宋体" w:cs="宋体"/>
                <w:spacing w:val="-11"/>
                <w:sz w:val="24"/>
                <w:szCs w:val="24"/>
                <w:highlight w:val="none"/>
              </w:rPr>
              <w:t>响应文件</w:t>
            </w:r>
            <w:r>
              <w:rPr>
                <w:rFonts w:hint="eastAsia" w:ascii="宋体" w:hAnsi="宋体" w:cs="宋体"/>
                <w:kern w:val="10"/>
                <w:sz w:val="24"/>
                <w:szCs w:val="24"/>
                <w:highlight w:val="none"/>
              </w:rPr>
              <w:t>将被拒绝</w:t>
            </w:r>
          </w:p>
        </w:tc>
      </w:tr>
      <w:tr w14:paraId="3D542974">
        <w:tblPrEx>
          <w:tblCellMar>
            <w:top w:w="0" w:type="dxa"/>
            <w:left w:w="0" w:type="dxa"/>
            <w:bottom w:w="0" w:type="dxa"/>
            <w:right w:w="0" w:type="dxa"/>
          </w:tblCellMar>
        </w:tblPrEx>
        <w:trPr>
          <w:trHeight w:val="981"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14:paraId="578970B0">
            <w:pPr>
              <w:autoSpaceDE w:val="0"/>
              <w:autoSpaceDN w:val="0"/>
              <w:spacing w:line="500" w:lineRule="exact"/>
              <w:jc w:val="center"/>
              <w:rPr>
                <w:rFonts w:hint="eastAsia" w:ascii="宋体" w:hAnsi="宋体"/>
                <w:kern w:val="0"/>
                <w:sz w:val="24"/>
                <w:szCs w:val="24"/>
                <w:highlight w:val="none"/>
              </w:rPr>
            </w:pPr>
            <w:r>
              <w:rPr>
                <w:rFonts w:hint="eastAsia" w:ascii="宋体" w:hAnsi="宋体"/>
                <w:kern w:val="0"/>
                <w:sz w:val="24"/>
                <w:szCs w:val="24"/>
                <w:highlight w:val="none"/>
              </w:rPr>
              <w:t>备  注</w:t>
            </w:r>
          </w:p>
        </w:tc>
        <w:tc>
          <w:tcPr>
            <w:tcW w:w="6611" w:type="dxa"/>
            <w:tcBorders>
              <w:top w:val="single" w:color="auto" w:sz="4" w:space="0"/>
              <w:left w:val="nil"/>
              <w:bottom w:val="single" w:color="auto" w:sz="4" w:space="0"/>
              <w:right w:val="single" w:color="auto" w:sz="4" w:space="0"/>
            </w:tcBorders>
            <w:noWrap w:val="0"/>
            <w:vAlign w:val="center"/>
          </w:tcPr>
          <w:p w14:paraId="02BE4DCF">
            <w:pPr>
              <w:autoSpaceDE w:val="0"/>
              <w:autoSpaceDN w:val="0"/>
              <w:spacing w:line="500" w:lineRule="exact"/>
              <w:jc w:val="center"/>
              <w:rPr>
                <w:rFonts w:hint="eastAsia" w:ascii="宋体" w:hAnsi="宋体" w:cs="宋体"/>
                <w:kern w:val="0"/>
                <w:sz w:val="24"/>
                <w:szCs w:val="24"/>
                <w:highlight w:val="none"/>
              </w:rPr>
            </w:pPr>
          </w:p>
        </w:tc>
      </w:tr>
    </w:tbl>
    <w:p w14:paraId="284886B8">
      <w:pPr>
        <w:autoSpaceDE w:val="0"/>
        <w:autoSpaceDN w:val="0"/>
        <w:adjustRightInd w:val="0"/>
        <w:spacing w:line="500" w:lineRule="exact"/>
        <w:rPr>
          <w:rFonts w:hint="eastAsia" w:ascii="宋体" w:hAnsi="宋体" w:cs="宋体"/>
          <w:kern w:val="0"/>
          <w:sz w:val="24"/>
          <w:szCs w:val="24"/>
          <w:highlight w:val="none"/>
        </w:rPr>
      </w:pPr>
    </w:p>
    <w:p w14:paraId="1FD1DE70">
      <w:pPr>
        <w:spacing w:line="480" w:lineRule="auto"/>
        <w:ind w:firstLine="3967" w:firstLineChars="1653"/>
        <w:jc w:val="left"/>
        <w:rPr>
          <w:rFonts w:hint="default" w:ascii="宋体" w:hAnsi="宋体" w:eastAsia="宋体" w:cs="宋体"/>
          <w:sz w:val="24"/>
          <w:szCs w:val="24"/>
          <w:highlight w:val="none"/>
          <w:u w:val="single"/>
          <w:lang w:val="en-US" w:eastAsia="zh-CN"/>
        </w:rPr>
      </w:pPr>
      <w:r>
        <w:rPr>
          <w:rFonts w:hint="eastAsia" w:ascii="宋体" w:hAnsi="宋体" w:cs="宋体"/>
          <w:sz w:val="24"/>
          <w:szCs w:val="24"/>
          <w:highlight w:val="none"/>
        </w:rPr>
        <w:t>响应供应商(盖</w:t>
      </w:r>
      <w:r>
        <w:rPr>
          <w:rFonts w:hint="eastAsia" w:ascii="宋体" w:hAnsi="宋体" w:cs="宋体"/>
          <w:sz w:val="24"/>
          <w:szCs w:val="24"/>
          <w:highlight w:val="none"/>
          <w:lang w:eastAsia="zh-CN"/>
        </w:rPr>
        <w:t>单位公</w:t>
      </w:r>
      <w:r>
        <w:rPr>
          <w:rFonts w:hint="eastAsia" w:ascii="宋体" w:hAnsi="宋体" w:cs="宋体"/>
          <w:sz w:val="24"/>
          <w:szCs w:val="24"/>
          <w:highlight w:val="none"/>
        </w:rPr>
        <w:t>章)：</w:t>
      </w:r>
      <w:r>
        <w:rPr>
          <w:rFonts w:hint="eastAsia" w:ascii="宋体" w:hAnsi="宋体" w:cs="宋体"/>
          <w:sz w:val="24"/>
          <w:szCs w:val="24"/>
          <w:highlight w:val="none"/>
          <w:u w:val="single"/>
          <w:lang w:val="en-US" w:eastAsia="zh-CN"/>
        </w:rPr>
        <w:t xml:space="preserve">                  </w:t>
      </w:r>
    </w:p>
    <w:p w14:paraId="649974B8">
      <w:pPr>
        <w:spacing w:line="480" w:lineRule="auto"/>
        <w:ind w:firstLine="3967" w:firstLineChars="1653"/>
        <w:jc w:val="left"/>
        <w:rPr>
          <w:rFonts w:hint="default" w:ascii="宋体" w:hAnsi="宋体" w:eastAsia="宋体" w:cs="宋体"/>
          <w:sz w:val="24"/>
          <w:szCs w:val="24"/>
          <w:highlight w:val="none"/>
          <w:u w:val="single"/>
          <w:lang w:val="en-US" w:eastAsia="zh-CN"/>
        </w:rPr>
      </w:pPr>
      <w:r>
        <w:rPr>
          <w:rFonts w:hint="eastAsia" w:ascii="宋体" w:hAnsi="宋体" w:cs="宋体"/>
          <w:sz w:val="24"/>
          <w:szCs w:val="24"/>
          <w:highlight w:val="none"/>
        </w:rPr>
        <w:t>法定代表人 (</w:t>
      </w:r>
      <w:r>
        <w:rPr>
          <w:rFonts w:hint="eastAsia" w:ascii="宋体" w:hAnsi="宋体" w:cs="宋体"/>
          <w:sz w:val="24"/>
          <w:szCs w:val="24"/>
          <w:highlight w:val="none"/>
          <w:lang w:eastAsia="zh-CN"/>
        </w:rPr>
        <w:t>电子</w:t>
      </w:r>
      <w:r>
        <w:rPr>
          <w:rFonts w:hint="eastAsia" w:ascii="宋体" w:hAnsi="宋体" w:cs="宋体"/>
          <w:sz w:val="24"/>
          <w:szCs w:val="24"/>
          <w:highlight w:val="none"/>
        </w:rPr>
        <w:t>签章)：</w:t>
      </w:r>
      <w:r>
        <w:rPr>
          <w:rFonts w:hint="eastAsia" w:ascii="宋体" w:hAnsi="宋体" w:cs="宋体"/>
          <w:sz w:val="24"/>
          <w:szCs w:val="24"/>
          <w:highlight w:val="none"/>
          <w:u w:val="single"/>
          <w:lang w:val="en-US" w:eastAsia="zh-CN"/>
        </w:rPr>
        <w:t xml:space="preserve">                   </w:t>
      </w:r>
    </w:p>
    <w:p w14:paraId="518E591A">
      <w:pPr>
        <w:spacing w:line="480" w:lineRule="auto"/>
        <w:ind w:firstLine="3967" w:firstLineChars="1653"/>
        <w:jc w:val="left"/>
        <w:rPr>
          <w:rFonts w:hint="eastAsia" w:ascii="宋体" w:hAnsi="宋体" w:cs="宋体"/>
          <w:b/>
          <w:sz w:val="24"/>
          <w:highlight w:val="none"/>
        </w:rPr>
      </w:pPr>
      <w:r>
        <w:rPr>
          <w:rFonts w:hint="eastAsia" w:ascii="宋体" w:hAnsi="宋体" w:cs="宋体"/>
          <w:sz w:val="24"/>
          <w:szCs w:val="24"/>
          <w:highlight w:val="none"/>
        </w:rPr>
        <w:t>日期：  年  月   日</w:t>
      </w:r>
    </w:p>
    <w:p w14:paraId="540E36AE">
      <w:pPr>
        <w:snapToGrid w:val="0"/>
        <w:spacing w:line="520" w:lineRule="exact"/>
        <w:ind w:left="23" w:leftChars="-72" w:right="-817" w:rightChars="-389" w:hanging="174" w:hangingChars="62"/>
        <w:jc w:val="center"/>
        <w:rPr>
          <w:rFonts w:hint="eastAsia" w:ascii="宋体" w:hAnsi="宋体"/>
          <w:b/>
          <w:sz w:val="28"/>
          <w:szCs w:val="28"/>
          <w:highlight w:val="none"/>
          <w:lang w:eastAsia="zh-CN"/>
        </w:rPr>
      </w:pPr>
      <w:bookmarkStart w:id="1265" w:name="_Toc13812"/>
      <w:bookmarkStart w:id="1266" w:name="_Toc12380"/>
      <w:bookmarkStart w:id="1267" w:name="_Toc19317"/>
    </w:p>
    <w:p w14:paraId="346391AD">
      <w:pPr>
        <w:snapToGrid w:val="0"/>
        <w:spacing w:line="520" w:lineRule="exact"/>
        <w:ind w:left="23" w:leftChars="-72" w:right="-817" w:rightChars="-389" w:hanging="174" w:hangingChars="62"/>
        <w:jc w:val="center"/>
        <w:rPr>
          <w:rFonts w:hint="eastAsia" w:ascii="宋体" w:hAnsi="宋体"/>
          <w:b/>
          <w:sz w:val="28"/>
          <w:szCs w:val="28"/>
          <w:highlight w:val="none"/>
          <w:lang w:eastAsia="zh-CN"/>
        </w:rPr>
      </w:pPr>
    </w:p>
    <w:p w14:paraId="040BC677">
      <w:pPr>
        <w:snapToGrid w:val="0"/>
        <w:spacing w:line="520" w:lineRule="exact"/>
        <w:ind w:left="23" w:leftChars="-72" w:right="-817" w:rightChars="-389" w:hanging="174" w:hangingChars="62"/>
        <w:jc w:val="center"/>
        <w:rPr>
          <w:rFonts w:hint="eastAsia" w:ascii="宋体" w:hAnsi="宋体"/>
          <w:b/>
          <w:sz w:val="28"/>
          <w:szCs w:val="28"/>
          <w:highlight w:val="none"/>
          <w:lang w:eastAsia="zh-CN"/>
        </w:rPr>
      </w:pPr>
    </w:p>
    <w:p w14:paraId="4A7C23D3">
      <w:pPr>
        <w:snapToGrid w:val="0"/>
        <w:spacing w:line="520" w:lineRule="exact"/>
        <w:ind w:left="23" w:leftChars="-72" w:right="-817" w:rightChars="-389" w:hanging="174" w:hangingChars="62"/>
        <w:jc w:val="center"/>
        <w:rPr>
          <w:rFonts w:ascii="宋体" w:hAnsi="宋体"/>
          <w:sz w:val="28"/>
          <w:szCs w:val="28"/>
          <w:highlight w:val="none"/>
        </w:rPr>
      </w:pPr>
      <w:r>
        <w:rPr>
          <w:rFonts w:hint="eastAsia" w:ascii="宋体" w:hAnsi="宋体"/>
          <w:b/>
          <w:sz w:val="28"/>
          <w:szCs w:val="28"/>
          <w:highlight w:val="none"/>
          <w:lang w:eastAsia="zh-CN"/>
        </w:rPr>
        <w:t>附表</w:t>
      </w:r>
      <w:r>
        <w:rPr>
          <w:rFonts w:hint="eastAsia" w:ascii="宋体" w:hAnsi="宋体"/>
          <w:b/>
          <w:sz w:val="28"/>
          <w:szCs w:val="28"/>
          <w:highlight w:val="none"/>
          <w:lang w:val="en-US" w:eastAsia="zh-CN"/>
        </w:rPr>
        <w:t>1：</w:t>
      </w:r>
      <w:r>
        <w:rPr>
          <w:rFonts w:hint="eastAsia" w:ascii="宋体" w:hAnsi="宋体"/>
          <w:b/>
          <w:sz w:val="28"/>
          <w:szCs w:val="28"/>
          <w:highlight w:val="none"/>
        </w:rPr>
        <w:t>磋商报价明细表</w:t>
      </w:r>
      <w:r>
        <w:rPr>
          <w:rFonts w:hint="eastAsia" w:ascii="宋体" w:hAnsi="宋体"/>
          <w:sz w:val="28"/>
          <w:szCs w:val="28"/>
          <w:highlight w:val="none"/>
        </w:rPr>
        <w:t>（格式）</w:t>
      </w:r>
    </w:p>
    <w:p w14:paraId="786CCB43">
      <w:pPr>
        <w:pStyle w:val="6"/>
        <w:spacing w:line="520" w:lineRule="exact"/>
        <w:ind w:firstLine="0"/>
        <w:rPr>
          <w:rFonts w:hint="eastAsia" w:ascii="宋体" w:hAnsi="宋体" w:eastAsia="宋体" w:cs="宋体"/>
          <w:sz w:val="24"/>
          <w:highlight w:val="none"/>
        </w:rPr>
      </w:pPr>
      <w:r>
        <w:rPr>
          <w:rFonts w:hint="eastAsia" w:ascii="宋体" w:hAnsi="宋体" w:eastAsia="宋体" w:cs="宋体"/>
          <w:sz w:val="24"/>
          <w:szCs w:val="24"/>
          <w:highlight w:val="none"/>
        </w:rPr>
        <w:t>磋商响应</w:t>
      </w:r>
      <w:r>
        <w:rPr>
          <w:rFonts w:hint="eastAsia" w:ascii="宋体" w:hAnsi="宋体" w:eastAsia="宋体" w:cs="宋体"/>
          <w:sz w:val="24"/>
          <w:highlight w:val="none"/>
        </w:rPr>
        <w:t>供应商名称：</w:t>
      </w:r>
    </w:p>
    <w:p w14:paraId="35577698">
      <w:pPr>
        <w:pStyle w:val="6"/>
        <w:spacing w:line="520" w:lineRule="exact"/>
        <w:ind w:firstLine="0"/>
        <w:rPr>
          <w:rFonts w:hint="eastAsia" w:ascii="宋体" w:hAnsi="宋体" w:eastAsia="宋体" w:cs="宋体"/>
          <w:sz w:val="24"/>
          <w:highlight w:val="none"/>
        </w:rPr>
      </w:pPr>
      <w:r>
        <w:rPr>
          <w:rFonts w:hint="eastAsia" w:ascii="宋体" w:hAnsi="宋体" w:eastAsia="宋体" w:cs="宋体"/>
          <w:sz w:val="24"/>
          <w:highlight w:val="none"/>
        </w:rPr>
        <w:t>项目编号：</w:t>
      </w:r>
    </w:p>
    <w:p w14:paraId="2FFF088B">
      <w:pPr>
        <w:pStyle w:val="6"/>
        <w:spacing w:line="520" w:lineRule="exact"/>
        <w:ind w:firstLine="0"/>
        <w:rPr>
          <w:rFonts w:hint="eastAsia" w:ascii="宋体" w:hAnsi="宋体" w:eastAsia="宋体" w:cs="宋体"/>
          <w:sz w:val="24"/>
          <w:highlight w:val="none"/>
        </w:rPr>
      </w:pPr>
      <w:r>
        <w:rPr>
          <w:rFonts w:hint="eastAsia" w:ascii="宋体" w:hAnsi="宋体" w:eastAsia="宋体" w:cs="宋体"/>
          <w:sz w:val="24"/>
          <w:highlight w:val="none"/>
        </w:rPr>
        <w:t>货币单位：元</w:t>
      </w:r>
    </w:p>
    <w:tbl>
      <w:tblPr>
        <w:tblStyle w:val="23"/>
        <w:tblW w:w="90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1260"/>
        <w:gridCol w:w="720"/>
        <w:gridCol w:w="1260"/>
        <w:gridCol w:w="1152"/>
        <w:gridCol w:w="720"/>
        <w:gridCol w:w="720"/>
        <w:gridCol w:w="900"/>
        <w:gridCol w:w="1440"/>
      </w:tblGrid>
      <w:tr w14:paraId="4A4231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828" w:type="dxa"/>
            <w:tcBorders>
              <w:top w:val="single" w:color="auto" w:sz="4" w:space="0"/>
              <w:left w:val="single" w:color="auto" w:sz="4" w:space="0"/>
              <w:bottom w:val="nil"/>
              <w:right w:val="single" w:color="auto" w:sz="4" w:space="0"/>
            </w:tcBorders>
            <w:noWrap w:val="0"/>
            <w:vAlign w:val="center"/>
          </w:tcPr>
          <w:p w14:paraId="71EBF069">
            <w:pPr>
              <w:tabs>
                <w:tab w:val="left" w:pos="1418"/>
              </w:tabs>
              <w:snapToGrid w:val="0"/>
              <w:spacing w:line="440" w:lineRule="exact"/>
              <w:jc w:val="center"/>
              <w:rPr>
                <w:rFonts w:ascii="宋体" w:hAnsi="宋体" w:cs="宋体"/>
                <w:sz w:val="22"/>
                <w:szCs w:val="22"/>
                <w:highlight w:val="none"/>
              </w:rPr>
            </w:pPr>
            <w:r>
              <w:rPr>
                <w:rFonts w:hint="eastAsia" w:ascii="宋体" w:hAnsi="宋体"/>
                <w:sz w:val="22"/>
                <w:szCs w:val="22"/>
                <w:highlight w:val="none"/>
              </w:rPr>
              <w:t>序号</w:t>
            </w:r>
          </w:p>
        </w:tc>
        <w:tc>
          <w:tcPr>
            <w:tcW w:w="1260" w:type="dxa"/>
            <w:tcBorders>
              <w:top w:val="single" w:color="auto" w:sz="4" w:space="0"/>
              <w:left w:val="single" w:color="auto" w:sz="4" w:space="0"/>
              <w:bottom w:val="nil"/>
              <w:right w:val="single" w:color="auto" w:sz="4" w:space="0"/>
            </w:tcBorders>
            <w:noWrap w:val="0"/>
            <w:vAlign w:val="center"/>
          </w:tcPr>
          <w:p w14:paraId="50C807A9">
            <w:pPr>
              <w:tabs>
                <w:tab w:val="left" w:pos="1418"/>
              </w:tabs>
              <w:snapToGrid w:val="0"/>
              <w:spacing w:line="440" w:lineRule="exact"/>
              <w:jc w:val="center"/>
              <w:rPr>
                <w:rFonts w:ascii="宋体" w:hAnsi="宋体" w:cs="宋体"/>
                <w:sz w:val="22"/>
                <w:szCs w:val="22"/>
                <w:highlight w:val="none"/>
              </w:rPr>
            </w:pPr>
            <w:r>
              <w:rPr>
                <w:rFonts w:hint="eastAsia" w:ascii="宋体" w:hAnsi="宋体"/>
                <w:sz w:val="22"/>
                <w:szCs w:val="22"/>
                <w:highlight w:val="none"/>
              </w:rPr>
              <w:t>设备名称</w:t>
            </w:r>
          </w:p>
        </w:tc>
        <w:tc>
          <w:tcPr>
            <w:tcW w:w="720" w:type="dxa"/>
            <w:tcBorders>
              <w:top w:val="single" w:color="auto" w:sz="4" w:space="0"/>
              <w:left w:val="single" w:color="auto" w:sz="4" w:space="0"/>
              <w:bottom w:val="nil"/>
              <w:right w:val="single" w:color="auto" w:sz="4" w:space="0"/>
            </w:tcBorders>
            <w:noWrap w:val="0"/>
            <w:vAlign w:val="center"/>
          </w:tcPr>
          <w:p w14:paraId="16F99078">
            <w:pPr>
              <w:pStyle w:val="66"/>
              <w:snapToGrid w:val="0"/>
              <w:spacing w:before="0" w:beforeAutospacing="0" w:after="0" w:afterAutospacing="0" w:line="440" w:lineRule="exact"/>
              <w:rPr>
                <w:sz w:val="22"/>
                <w:szCs w:val="22"/>
                <w:highlight w:val="none"/>
              </w:rPr>
            </w:pPr>
            <w:r>
              <w:rPr>
                <w:rFonts w:hint="eastAsia"/>
                <w:sz w:val="22"/>
                <w:szCs w:val="22"/>
                <w:highlight w:val="none"/>
              </w:rPr>
              <w:t>品牌</w:t>
            </w:r>
          </w:p>
        </w:tc>
        <w:tc>
          <w:tcPr>
            <w:tcW w:w="1260" w:type="dxa"/>
            <w:tcBorders>
              <w:top w:val="single" w:color="auto" w:sz="4" w:space="0"/>
              <w:left w:val="single" w:color="auto" w:sz="4" w:space="0"/>
              <w:bottom w:val="nil"/>
              <w:right w:val="single" w:color="auto" w:sz="4" w:space="0"/>
            </w:tcBorders>
            <w:noWrap w:val="0"/>
            <w:vAlign w:val="center"/>
          </w:tcPr>
          <w:p w14:paraId="2972C303">
            <w:pPr>
              <w:tabs>
                <w:tab w:val="left" w:pos="1418"/>
              </w:tabs>
              <w:snapToGrid w:val="0"/>
              <w:spacing w:line="440" w:lineRule="exact"/>
              <w:jc w:val="center"/>
              <w:rPr>
                <w:rFonts w:ascii="宋体" w:hAnsi="宋体" w:cs="宋体"/>
                <w:sz w:val="22"/>
                <w:szCs w:val="22"/>
                <w:highlight w:val="none"/>
              </w:rPr>
            </w:pPr>
            <w:r>
              <w:rPr>
                <w:rFonts w:hint="eastAsia" w:ascii="宋体" w:hAnsi="宋体"/>
                <w:sz w:val="22"/>
                <w:szCs w:val="22"/>
                <w:highlight w:val="none"/>
              </w:rPr>
              <w:t>规格型号</w:t>
            </w:r>
          </w:p>
        </w:tc>
        <w:tc>
          <w:tcPr>
            <w:tcW w:w="1152" w:type="dxa"/>
            <w:tcBorders>
              <w:top w:val="single" w:color="auto" w:sz="4" w:space="0"/>
              <w:left w:val="single" w:color="auto" w:sz="4" w:space="0"/>
              <w:bottom w:val="nil"/>
              <w:right w:val="single" w:color="auto" w:sz="4" w:space="0"/>
            </w:tcBorders>
            <w:noWrap w:val="0"/>
            <w:vAlign w:val="center"/>
          </w:tcPr>
          <w:p w14:paraId="2BFA6ECF">
            <w:pPr>
              <w:tabs>
                <w:tab w:val="left" w:pos="1418"/>
              </w:tabs>
              <w:snapToGrid w:val="0"/>
              <w:spacing w:line="440" w:lineRule="exact"/>
              <w:jc w:val="center"/>
              <w:rPr>
                <w:rFonts w:ascii="宋体" w:hAnsi="宋体" w:cs="宋体"/>
                <w:sz w:val="22"/>
                <w:szCs w:val="22"/>
                <w:highlight w:val="none"/>
              </w:rPr>
            </w:pPr>
            <w:r>
              <w:rPr>
                <w:rFonts w:hint="eastAsia" w:ascii="宋体" w:hAnsi="宋体"/>
                <w:spacing w:val="20"/>
                <w:sz w:val="22"/>
                <w:szCs w:val="22"/>
                <w:highlight w:val="none"/>
              </w:rPr>
              <w:t>原产地</w:t>
            </w:r>
          </w:p>
        </w:tc>
        <w:tc>
          <w:tcPr>
            <w:tcW w:w="720" w:type="dxa"/>
            <w:tcBorders>
              <w:top w:val="single" w:color="auto" w:sz="4" w:space="0"/>
              <w:left w:val="single" w:color="auto" w:sz="4" w:space="0"/>
              <w:bottom w:val="nil"/>
              <w:right w:val="single" w:color="auto" w:sz="4" w:space="0"/>
            </w:tcBorders>
            <w:noWrap w:val="0"/>
            <w:vAlign w:val="center"/>
          </w:tcPr>
          <w:p w14:paraId="0AB16217">
            <w:pPr>
              <w:tabs>
                <w:tab w:val="left" w:pos="1418"/>
              </w:tabs>
              <w:snapToGrid w:val="0"/>
              <w:spacing w:line="440" w:lineRule="exact"/>
              <w:jc w:val="center"/>
              <w:rPr>
                <w:rFonts w:ascii="宋体" w:hAnsi="宋体" w:cs="宋体"/>
                <w:sz w:val="22"/>
                <w:szCs w:val="22"/>
                <w:highlight w:val="none"/>
              </w:rPr>
            </w:pPr>
            <w:r>
              <w:rPr>
                <w:rFonts w:hint="eastAsia" w:ascii="宋体" w:hAnsi="宋体"/>
                <w:sz w:val="22"/>
                <w:szCs w:val="22"/>
                <w:highlight w:val="none"/>
              </w:rPr>
              <w:t>单位</w:t>
            </w:r>
          </w:p>
        </w:tc>
        <w:tc>
          <w:tcPr>
            <w:tcW w:w="720" w:type="dxa"/>
            <w:tcBorders>
              <w:top w:val="single" w:color="auto" w:sz="4" w:space="0"/>
              <w:left w:val="single" w:color="auto" w:sz="4" w:space="0"/>
              <w:bottom w:val="nil"/>
              <w:right w:val="single" w:color="auto" w:sz="4" w:space="0"/>
            </w:tcBorders>
            <w:noWrap w:val="0"/>
            <w:vAlign w:val="center"/>
          </w:tcPr>
          <w:p w14:paraId="2A973A05">
            <w:pPr>
              <w:tabs>
                <w:tab w:val="left" w:pos="1418"/>
              </w:tabs>
              <w:snapToGrid w:val="0"/>
              <w:spacing w:line="440" w:lineRule="exact"/>
              <w:jc w:val="center"/>
              <w:rPr>
                <w:rFonts w:ascii="宋体" w:hAnsi="宋体" w:cs="宋体"/>
                <w:sz w:val="22"/>
                <w:szCs w:val="22"/>
                <w:highlight w:val="none"/>
              </w:rPr>
            </w:pPr>
            <w:r>
              <w:rPr>
                <w:rFonts w:hint="eastAsia" w:ascii="宋体" w:hAnsi="宋体"/>
                <w:sz w:val="22"/>
                <w:szCs w:val="22"/>
                <w:highlight w:val="none"/>
              </w:rPr>
              <w:t>数量</w:t>
            </w:r>
          </w:p>
        </w:tc>
        <w:tc>
          <w:tcPr>
            <w:tcW w:w="900" w:type="dxa"/>
            <w:tcBorders>
              <w:top w:val="single" w:color="auto" w:sz="4" w:space="0"/>
              <w:left w:val="single" w:color="auto" w:sz="4" w:space="0"/>
              <w:bottom w:val="nil"/>
              <w:right w:val="single" w:color="auto" w:sz="4" w:space="0"/>
            </w:tcBorders>
            <w:noWrap w:val="0"/>
            <w:vAlign w:val="center"/>
          </w:tcPr>
          <w:p w14:paraId="2547FB74">
            <w:pPr>
              <w:tabs>
                <w:tab w:val="left" w:pos="1418"/>
              </w:tabs>
              <w:snapToGrid w:val="0"/>
              <w:spacing w:line="440" w:lineRule="exact"/>
              <w:jc w:val="center"/>
              <w:rPr>
                <w:rFonts w:ascii="宋体" w:hAnsi="宋体" w:cs="宋体"/>
                <w:sz w:val="22"/>
                <w:szCs w:val="22"/>
                <w:highlight w:val="none"/>
              </w:rPr>
            </w:pPr>
            <w:r>
              <w:rPr>
                <w:rFonts w:hint="eastAsia" w:ascii="宋体" w:hAnsi="宋体"/>
                <w:sz w:val="22"/>
                <w:szCs w:val="22"/>
                <w:highlight w:val="none"/>
              </w:rPr>
              <w:t>单价</w:t>
            </w:r>
          </w:p>
        </w:tc>
        <w:tc>
          <w:tcPr>
            <w:tcW w:w="1440" w:type="dxa"/>
            <w:tcBorders>
              <w:top w:val="single" w:color="auto" w:sz="4" w:space="0"/>
              <w:left w:val="single" w:color="auto" w:sz="4" w:space="0"/>
              <w:bottom w:val="nil"/>
              <w:right w:val="single" w:color="auto" w:sz="4" w:space="0"/>
            </w:tcBorders>
            <w:noWrap w:val="0"/>
            <w:vAlign w:val="center"/>
          </w:tcPr>
          <w:p w14:paraId="35C908EF">
            <w:pPr>
              <w:tabs>
                <w:tab w:val="left" w:pos="1418"/>
              </w:tabs>
              <w:snapToGrid w:val="0"/>
              <w:spacing w:line="440" w:lineRule="exact"/>
              <w:jc w:val="center"/>
              <w:rPr>
                <w:rFonts w:ascii="宋体" w:hAnsi="宋体" w:cs="宋体"/>
                <w:sz w:val="22"/>
                <w:szCs w:val="22"/>
                <w:highlight w:val="none"/>
              </w:rPr>
            </w:pPr>
            <w:r>
              <w:rPr>
                <w:rFonts w:hint="eastAsia" w:ascii="宋体" w:hAnsi="宋体"/>
                <w:sz w:val="22"/>
                <w:szCs w:val="22"/>
                <w:highlight w:val="none"/>
              </w:rPr>
              <w:t>总价</w:t>
            </w:r>
          </w:p>
        </w:tc>
      </w:tr>
      <w:tr w14:paraId="39CCB5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4D905888">
            <w:pPr>
              <w:spacing w:line="440" w:lineRule="exact"/>
              <w:rPr>
                <w:rFonts w:ascii="宋体" w:hAnsi="宋体" w:cs="宋体"/>
                <w:sz w:val="22"/>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1068C75">
            <w:pPr>
              <w:spacing w:line="440" w:lineRule="exact"/>
              <w:rPr>
                <w:rFonts w:ascii="宋体" w:hAnsi="宋体" w:cs="宋体"/>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3EC322ED">
            <w:pPr>
              <w:spacing w:line="440" w:lineRule="exact"/>
              <w:rPr>
                <w:rFonts w:ascii="宋体" w:hAnsi="宋体" w:cs="宋体"/>
                <w:sz w:val="22"/>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40BD61F">
            <w:pPr>
              <w:spacing w:line="440" w:lineRule="exact"/>
              <w:rPr>
                <w:rFonts w:ascii="宋体" w:hAnsi="宋体" w:cs="宋体"/>
                <w:sz w:val="22"/>
                <w:szCs w:val="22"/>
                <w:highlight w:val="none"/>
              </w:rPr>
            </w:pPr>
          </w:p>
        </w:tc>
        <w:tc>
          <w:tcPr>
            <w:tcW w:w="1152" w:type="dxa"/>
            <w:tcBorders>
              <w:top w:val="single" w:color="auto" w:sz="4" w:space="0"/>
              <w:left w:val="single" w:color="auto" w:sz="4" w:space="0"/>
              <w:bottom w:val="single" w:color="auto" w:sz="4" w:space="0"/>
              <w:right w:val="single" w:color="auto" w:sz="4" w:space="0"/>
            </w:tcBorders>
            <w:noWrap w:val="0"/>
            <w:vAlign w:val="top"/>
          </w:tcPr>
          <w:p w14:paraId="39C879DC">
            <w:pPr>
              <w:spacing w:line="440" w:lineRule="exact"/>
              <w:rPr>
                <w:rFonts w:ascii="宋体" w:hAnsi="宋体" w:cs="宋体"/>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0BE770C8">
            <w:pPr>
              <w:spacing w:line="440" w:lineRule="exact"/>
              <w:rPr>
                <w:rFonts w:ascii="宋体" w:hAnsi="宋体" w:cs="宋体"/>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4E1D83B1">
            <w:pPr>
              <w:spacing w:line="440" w:lineRule="exact"/>
              <w:rPr>
                <w:rFonts w:ascii="宋体" w:hAnsi="宋体" w:cs="宋体"/>
                <w:sz w:val="22"/>
                <w:szCs w:val="22"/>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FCA2815">
            <w:pPr>
              <w:spacing w:line="440" w:lineRule="exact"/>
              <w:rPr>
                <w:rFonts w:ascii="宋体" w:hAnsi="宋体" w:cs="宋体"/>
                <w:sz w:val="22"/>
                <w:szCs w:val="22"/>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E7ED33B">
            <w:pPr>
              <w:spacing w:line="440" w:lineRule="exact"/>
              <w:rPr>
                <w:rFonts w:ascii="宋体" w:hAnsi="宋体" w:cs="宋体"/>
                <w:sz w:val="22"/>
                <w:szCs w:val="22"/>
                <w:highlight w:val="none"/>
              </w:rPr>
            </w:pPr>
          </w:p>
        </w:tc>
      </w:tr>
      <w:tr w14:paraId="2D29C1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0FAA2168">
            <w:pPr>
              <w:spacing w:line="440" w:lineRule="exact"/>
              <w:rPr>
                <w:rFonts w:ascii="宋体" w:hAnsi="宋体" w:cs="宋体"/>
                <w:sz w:val="22"/>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A3B40B1">
            <w:pPr>
              <w:spacing w:line="440" w:lineRule="exact"/>
              <w:rPr>
                <w:rFonts w:ascii="宋体" w:hAnsi="宋体" w:cs="宋体"/>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5CE721A2">
            <w:pPr>
              <w:spacing w:line="440" w:lineRule="exact"/>
              <w:rPr>
                <w:rFonts w:ascii="宋体" w:hAnsi="宋体" w:cs="宋体"/>
                <w:sz w:val="22"/>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D5E4546">
            <w:pPr>
              <w:spacing w:line="440" w:lineRule="exact"/>
              <w:rPr>
                <w:rFonts w:ascii="宋体" w:hAnsi="宋体" w:cs="宋体"/>
                <w:sz w:val="22"/>
                <w:szCs w:val="22"/>
                <w:highlight w:val="none"/>
              </w:rPr>
            </w:pPr>
          </w:p>
        </w:tc>
        <w:tc>
          <w:tcPr>
            <w:tcW w:w="1152" w:type="dxa"/>
            <w:tcBorders>
              <w:top w:val="single" w:color="auto" w:sz="4" w:space="0"/>
              <w:left w:val="single" w:color="auto" w:sz="4" w:space="0"/>
              <w:bottom w:val="single" w:color="auto" w:sz="4" w:space="0"/>
              <w:right w:val="single" w:color="auto" w:sz="4" w:space="0"/>
            </w:tcBorders>
            <w:noWrap w:val="0"/>
            <w:vAlign w:val="top"/>
          </w:tcPr>
          <w:p w14:paraId="6FE39150">
            <w:pPr>
              <w:spacing w:line="440" w:lineRule="exact"/>
              <w:rPr>
                <w:rFonts w:ascii="宋体" w:hAnsi="宋体" w:cs="宋体"/>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0836B9A3">
            <w:pPr>
              <w:spacing w:line="440" w:lineRule="exact"/>
              <w:rPr>
                <w:rFonts w:ascii="宋体" w:hAnsi="宋体" w:cs="宋体"/>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273321D8">
            <w:pPr>
              <w:spacing w:line="440" w:lineRule="exact"/>
              <w:rPr>
                <w:rFonts w:ascii="宋体" w:hAnsi="宋体" w:cs="宋体"/>
                <w:sz w:val="22"/>
                <w:szCs w:val="22"/>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33A30E92">
            <w:pPr>
              <w:spacing w:line="440" w:lineRule="exact"/>
              <w:rPr>
                <w:rFonts w:ascii="宋体" w:hAnsi="宋体" w:cs="宋体"/>
                <w:sz w:val="22"/>
                <w:szCs w:val="22"/>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6948D3EB">
            <w:pPr>
              <w:spacing w:line="440" w:lineRule="exact"/>
              <w:rPr>
                <w:rFonts w:ascii="宋体" w:hAnsi="宋体" w:cs="宋体"/>
                <w:sz w:val="22"/>
                <w:szCs w:val="22"/>
                <w:highlight w:val="none"/>
              </w:rPr>
            </w:pPr>
          </w:p>
        </w:tc>
      </w:tr>
      <w:tr w14:paraId="25EA84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66200990">
            <w:pPr>
              <w:spacing w:line="440" w:lineRule="exact"/>
              <w:rPr>
                <w:rFonts w:ascii="宋体" w:hAnsi="宋体" w:cs="宋体"/>
                <w:sz w:val="22"/>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054E739">
            <w:pPr>
              <w:spacing w:line="440" w:lineRule="exact"/>
              <w:rPr>
                <w:rFonts w:ascii="宋体" w:hAnsi="宋体" w:cs="宋体"/>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0C4F98AF">
            <w:pPr>
              <w:spacing w:line="440" w:lineRule="exact"/>
              <w:rPr>
                <w:rFonts w:ascii="宋体" w:hAnsi="宋体" w:cs="宋体"/>
                <w:sz w:val="22"/>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041751F">
            <w:pPr>
              <w:spacing w:line="440" w:lineRule="exact"/>
              <w:rPr>
                <w:rFonts w:ascii="宋体" w:hAnsi="宋体" w:cs="宋体"/>
                <w:sz w:val="22"/>
                <w:szCs w:val="22"/>
                <w:highlight w:val="none"/>
              </w:rPr>
            </w:pPr>
          </w:p>
        </w:tc>
        <w:tc>
          <w:tcPr>
            <w:tcW w:w="1152" w:type="dxa"/>
            <w:tcBorders>
              <w:top w:val="single" w:color="auto" w:sz="4" w:space="0"/>
              <w:left w:val="single" w:color="auto" w:sz="4" w:space="0"/>
              <w:bottom w:val="single" w:color="auto" w:sz="4" w:space="0"/>
              <w:right w:val="single" w:color="auto" w:sz="4" w:space="0"/>
            </w:tcBorders>
            <w:noWrap w:val="0"/>
            <w:vAlign w:val="top"/>
          </w:tcPr>
          <w:p w14:paraId="581395DF">
            <w:pPr>
              <w:spacing w:line="440" w:lineRule="exact"/>
              <w:rPr>
                <w:rFonts w:ascii="宋体" w:hAnsi="宋体" w:cs="宋体"/>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4AABB2B0">
            <w:pPr>
              <w:spacing w:line="440" w:lineRule="exact"/>
              <w:rPr>
                <w:rFonts w:ascii="宋体" w:hAnsi="宋体" w:cs="宋体"/>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1DD854AB">
            <w:pPr>
              <w:spacing w:line="440" w:lineRule="exact"/>
              <w:rPr>
                <w:rFonts w:ascii="宋体" w:hAnsi="宋体" w:cs="宋体"/>
                <w:sz w:val="22"/>
                <w:szCs w:val="22"/>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57EC948">
            <w:pPr>
              <w:spacing w:line="440" w:lineRule="exact"/>
              <w:rPr>
                <w:rFonts w:ascii="宋体" w:hAnsi="宋体" w:cs="宋体"/>
                <w:sz w:val="22"/>
                <w:szCs w:val="22"/>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7DA1DD2">
            <w:pPr>
              <w:spacing w:line="440" w:lineRule="exact"/>
              <w:rPr>
                <w:rFonts w:ascii="宋体" w:hAnsi="宋体" w:cs="宋体"/>
                <w:sz w:val="22"/>
                <w:szCs w:val="22"/>
                <w:highlight w:val="none"/>
              </w:rPr>
            </w:pPr>
          </w:p>
        </w:tc>
      </w:tr>
      <w:tr w14:paraId="660B98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292B292B">
            <w:pPr>
              <w:spacing w:line="440" w:lineRule="exact"/>
              <w:rPr>
                <w:rFonts w:ascii="宋体" w:hAnsi="宋体" w:cs="宋体"/>
                <w:sz w:val="22"/>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5D3DA53">
            <w:pPr>
              <w:spacing w:line="440" w:lineRule="exact"/>
              <w:rPr>
                <w:rFonts w:ascii="宋体" w:hAnsi="宋体" w:cs="宋体"/>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66E43617">
            <w:pPr>
              <w:spacing w:line="440" w:lineRule="exact"/>
              <w:rPr>
                <w:rFonts w:ascii="宋体" w:hAnsi="宋体" w:cs="宋体"/>
                <w:sz w:val="22"/>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563EC94">
            <w:pPr>
              <w:spacing w:line="440" w:lineRule="exact"/>
              <w:rPr>
                <w:rFonts w:ascii="宋体" w:hAnsi="宋体" w:cs="宋体"/>
                <w:sz w:val="22"/>
                <w:szCs w:val="22"/>
                <w:highlight w:val="none"/>
              </w:rPr>
            </w:pPr>
          </w:p>
        </w:tc>
        <w:tc>
          <w:tcPr>
            <w:tcW w:w="1152" w:type="dxa"/>
            <w:tcBorders>
              <w:top w:val="single" w:color="auto" w:sz="4" w:space="0"/>
              <w:left w:val="single" w:color="auto" w:sz="4" w:space="0"/>
              <w:bottom w:val="single" w:color="auto" w:sz="4" w:space="0"/>
              <w:right w:val="single" w:color="auto" w:sz="4" w:space="0"/>
            </w:tcBorders>
            <w:noWrap w:val="0"/>
            <w:vAlign w:val="top"/>
          </w:tcPr>
          <w:p w14:paraId="1016AE28">
            <w:pPr>
              <w:spacing w:line="440" w:lineRule="exact"/>
              <w:rPr>
                <w:rFonts w:ascii="宋体" w:hAnsi="宋体" w:cs="宋体"/>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7965A30F">
            <w:pPr>
              <w:spacing w:line="440" w:lineRule="exact"/>
              <w:rPr>
                <w:rFonts w:ascii="宋体" w:hAnsi="宋体" w:cs="宋体"/>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0E01D8A7">
            <w:pPr>
              <w:spacing w:line="440" w:lineRule="exact"/>
              <w:rPr>
                <w:rFonts w:ascii="宋体" w:hAnsi="宋体" w:cs="宋体"/>
                <w:sz w:val="22"/>
                <w:szCs w:val="22"/>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5AAB501">
            <w:pPr>
              <w:spacing w:line="440" w:lineRule="exact"/>
              <w:rPr>
                <w:rFonts w:ascii="宋体" w:hAnsi="宋体" w:cs="宋体"/>
                <w:sz w:val="22"/>
                <w:szCs w:val="22"/>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29A8026">
            <w:pPr>
              <w:spacing w:line="440" w:lineRule="exact"/>
              <w:rPr>
                <w:rFonts w:ascii="宋体" w:hAnsi="宋体" w:cs="宋体"/>
                <w:sz w:val="22"/>
                <w:szCs w:val="22"/>
                <w:highlight w:val="none"/>
              </w:rPr>
            </w:pPr>
          </w:p>
        </w:tc>
      </w:tr>
      <w:tr w14:paraId="0CB73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000" w:type="dxa"/>
            <w:gridSpan w:val="9"/>
            <w:tcBorders>
              <w:top w:val="single" w:color="auto" w:sz="4" w:space="0"/>
              <w:left w:val="single" w:color="auto" w:sz="4" w:space="0"/>
              <w:bottom w:val="single" w:color="auto" w:sz="4" w:space="0"/>
              <w:right w:val="single" w:color="auto" w:sz="4" w:space="0"/>
            </w:tcBorders>
            <w:noWrap w:val="0"/>
            <w:vAlign w:val="top"/>
          </w:tcPr>
          <w:p w14:paraId="1EDCFEC2">
            <w:pPr>
              <w:pStyle w:val="13"/>
              <w:spacing w:line="440" w:lineRule="exact"/>
              <w:ind w:left="0" w:leftChars="0" w:firstLine="0" w:firstLineChars="0"/>
              <w:jc w:val="both"/>
              <w:outlineLvl w:val="0"/>
              <w:rPr>
                <w:rFonts w:cs="宋体"/>
                <w:sz w:val="22"/>
                <w:szCs w:val="22"/>
                <w:highlight w:val="none"/>
              </w:rPr>
            </w:pPr>
            <w:bookmarkStart w:id="1268" w:name="_Toc17107"/>
            <w:bookmarkStart w:id="1269" w:name="_Toc19167"/>
            <w:bookmarkStart w:id="1270" w:name="_Toc27223"/>
            <w:bookmarkStart w:id="1271" w:name="_Toc25195"/>
            <w:r>
              <w:rPr>
                <w:rFonts w:hint="eastAsia" w:cs="宋体"/>
                <w:sz w:val="22"/>
                <w:szCs w:val="22"/>
                <w:highlight w:val="none"/>
              </w:rPr>
              <w:t xml:space="preserve">总价(人民币大写)：                            </w:t>
            </w:r>
            <w:r>
              <w:rPr>
                <w:rFonts w:hint="eastAsia" w:cs="宋体"/>
                <w:sz w:val="22"/>
                <w:szCs w:val="22"/>
                <w:highlight w:val="none"/>
                <w:lang w:val="en-US" w:eastAsia="zh-CN"/>
              </w:rPr>
              <w:t xml:space="preserve">         </w:t>
            </w:r>
            <w:r>
              <w:rPr>
                <w:rFonts w:hint="eastAsia" w:cs="宋体"/>
                <w:sz w:val="22"/>
                <w:szCs w:val="22"/>
                <w:highlight w:val="none"/>
              </w:rPr>
              <w:t xml:space="preserve"> ￥         元</w:t>
            </w:r>
            <w:bookmarkEnd w:id="1268"/>
            <w:bookmarkEnd w:id="1269"/>
            <w:bookmarkEnd w:id="1270"/>
            <w:bookmarkEnd w:id="1271"/>
          </w:p>
        </w:tc>
      </w:tr>
      <w:tr w14:paraId="2AB36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0" w:type="dxa"/>
            <w:gridSpan w:val="9"/>
            <w:tcBorders>
              <w:top w:val="single" w:color="auto" w:sz="4" w:space="0"/>
              <w:left w:val="single" w:color="auto" w:sz="4" w:space="0"/>
              <w:bottom w:val="single" w:color="auto" w:sz="4" w:space="0"/>
              <w:right w:val="single" w:color="auto" w:sz="4" w:space="0"/>
            </w:tcBorders>
            <w:noWrap w:val="0"/>
            <w:vAlign w:val="top"/>
          </w:tcPr>
          <w:p w14:paraId="32B51DBE">
            <w:pPr>
              <w:pStyle w:val="13"/>
              <w:spacing w:line="440" w:lineRule="exact"/>
              <w:ind w:left="0" w:leftChars="0" w:firstLine="0" w:firstLineChars="0"/>
              <w:jc w:val="both"/>
              <w:outlineLvl w:val="0"/>
              <w:rPr>
                <w:rFonts w:cs="宋体"/>
                <w:sz w:val="22"/>
                <w:szCs w:val="22"/>
                <w:highlight w:val="none"/>
              </w:rPr>
            </w:pPr>
            <w:bookmarkStart w:id="1272" w:name="_Toc28011"/>
            <w:bookmarkStart w:id="1273" w:name="_Toc23627"/>
            <w:bookmarkStart w:id="1274" w:name="_Toc13795"/>
            <w:bookmarkStart w:id="1275" w:name="_Toc10235"/>
            <w:r>
              <w:rPr>
                <w:rFonts w:hint="eastAsia" w:cs="宋体"/>
                <w:sz w:val="22"/>
                <w:szCs w:val="22"/>
                <w:highlight w:val="none"/>
              </w:rPr>
              <w:t xml:space="preserve">磋商响应报价(人民币大写)：                           </w:t>
            </w:r>
            <w:r>
              <w:rPr>
                <w:rFonts w:hint="eastAsia" w:cs="宋体"/>
                <w:sz w:val="22"/>
                <w:szCs w:val="22"/>
                <w:highlight w:val="none"/>
                <w:lang w:val="en-US" w:eastAsia="zh-CN"/>
              </w:rPr>
              <w:t xml:space="preserve">   </w:t>
            </w:r>
            <w:r>
              <w:rPr>
                <w:rFonts w:hint="eastAsia" w:cs="宋体"/>
                <w:sz w:val="22"/>
                <w:szCs w:val="22"/>
                <w:highlight w:val="none"/>
              </w:rPr>
              <w:t>￥         元</w:t>
            </w:r>
            <w:bookmarkEnd w:id="1272"/>
            <w:bookmarkEnd w:id="1273"/>
            <w:bookmarkEnd w:id="1274"/>
            <w:bookmarkEnd w:id="1275"/>
          </w:p>
        </w:tc>
      </w:tr>
      <w:tr w14:paraId="7E7263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0" w:type="dxa"/>
            <w:gridSpan w:val="9"/>
            <w:tcBorders>
              <w:top w:val="single" w:color="auto" w:sz="4" w:space="0"/>
              <w:left w:val="single" w:color="auto" w:sz="4" w:space="0"/>
              <w:bottom w:val="single" w:color="auto" w:sz="4" w:space="0"/>
              <w:right w:val="single" w:color="auto" w:sz="4" w:space="0"/>
            </w:tcBorders>
            <w:noWrap w:val="0"/>
            <w:vAlign w:val="top"/>
          </w:tcPr>
          <w:p w14:paraId="5A4A9213">
            <w:pPr>
              <w:pStyle w:val="13"/>
              <w:spacing w:line="440" w:lineRule="exact"/>
              <w:ind w:left="0" w:leftChars="0" w:firstLine="0" w:firstLineChars="0"/>
              <w:jc w:val="both"/>
              <w:outlineLvl w:val="0"/>
              <w:rPr>
                <w:rFonts w:hint="eastAsia" w:cs="宋体"/>
                <w:sz w:val="22"/>
                <w:szCs w:val="22"/>
                <w:highlight w:val="none"/>
              </w:rPr>
            </w:pPr>
            <w:bookmarkStart w:id="1276" w:name="_Toc20659"/>
            <w:bookmarkStart w:id="1277" w:name="_Toc1835"/>
            <w:bookmarkStart w:id="1278" w:name="_Toc9419"/>
            <w:bookmarkStart w:id="1279" w:name="_Toc21874"/>
            <w:r>
              <w:rPr>
                <w:rFonts w:hint="eastAsia" w:ascii="宋体" w:hAnsi="宋体" w:eastAsia="宋体" w:cs="宋体"/>
                <w:i w:val="0"/>
                <w:iCs w:val="0"/>
                <w:color w:val="000000"/>
                <w:kern w:val="0"/>
                <w:sz w:val="24"/>
                <w:szCs w:val="24"/>
                <w:highlight w:val="none"/>
                <w:u w:val="none"/>
                <w:lang w:val="en-US" w:eastAsia="zh-CN" w:bidi="ar"/>
              </w:rPr>
              <w:t>备注：</w:t>
            </w:r>
            <w:r>
              <w:rPr>
                <w:rFonts w:hint="eastAsia" w:hAnsi="宋体" w:eastAsia="宋体" w:cs="宋体"/>
                <w:i w:val="0"/>
                <w:iCs w:val="0"/>
                <w:color w:val="000000"/>
                <w:kern w:val="0"/>
                <w:sz w:val="24"/>
                <w:szCs w:val="24"/>
                <w:highlight w:val="none"/>
                <w:u w:val="none"/>
                <w:lang w:val="en-US" w:eastAsia="zh-CN" w:bidi="ar"/>
              </w:rPr>
              <w:t>磋商报价</w:t>
            </w:r>
            <w:r>
              <w:rPr>
                <w:rFonts w:hint="eastAsia" w:ascii="宋体" w:hAnsi="宋体" w:eastAsia="宋体" w:cs="宋体"/>
                <w:i w:val="0"/>
                <w:iCs w:val="0"/>
                <w:color w:val="000000"/>
                <w:kern w:val="0"/>
                <w:sz w:val="24"/>
                <w:szCs w:val="24"/>
                <w:highlight w:val="none"/>
                <w:u w:val="none"/>
                <w:lang w:val="en-US" w:eastAsia="zh-CN" w:bidi="ar"/>
              </w:rPr>
              <w:t>含运费、卸货、安装调试、维保、含税金</w:t>
            </w:r>
            <w:bookmarkEnd w:id="1276"/>
          </w:p>
        </w:tc>
      </w:tr>
    </w:tbl>
    <w:p w14:paraId="43AD0452">
      <w:pPr>
        <w:pStyle w:val="13"/>
        <w:spacing w:line="520" w:lineRule="exact"/>
        <w:ind w:left="0" w:leftChars="0" w:firstLine="0" w:firstLineChars="0"/>
        <w:jc w:val="left"/>
        <w:outlineLvl w:val="0"/>
        <w:rPr>
          <w:sz w:val="24"/>
          <w:szCs w:val="24"/>
          <w:highlight w:val="none"/>
        </w:rPr>
      </w:pPr>
      <w:bookmarkStart w:id="1280" w:name="_Toc7392"/>
      <w:r>
        <w:rPr>
          <w:rFonts w:hint="eastAsia"/>
          <w:sz w:val="24"/>
          <w:szCs w:val="24"/>
          <w:highlight w:val="none"/>
        </w:rPr>
        <w:t>注：1.所有价格以人民币表示。2.若总价与单价不符，以单价为准。。</w:t>
      </w:r>
      <w:bookmarkEnd w:id="1277"/>
      <w:bookmarkEnd w:id="1278"/>
      <w:bookmarkEnd w:id="1279"/>
      <w:bookmarkEnd w:id="1280"/>
    </w:p>
    <w:p w14:paraId="693FC1FD">
      <w:pPr>
        <w:rPr>
          <w:rFonts w:ascii="宋体" w:hAnsi="宋体"/>
          <w:highlight w:val="none"/>
        </w:rPr>
      </w:pPr>
    </w:p>
    <w:p w14:paraId="2544456D">
      <w:pPr>
        <w:spacing w:line="480" w:lineRule="auto"/>
        <w:jc w:val="center"/>
        <w:rPr>
          <w:rFonts w:hint="default" w:ascii="宋体" w:hAnsi="宋体" w:eastAsia="宋体"/>
          <w:sz w:val="24"/>
          <w:highlight w:val="none"/>
          <w:u w:val="single"/>
          <w:lang w:val="en-US" w:eastAsia="zh-CN"/>
        </w:rPr>
      </w:pPr>
      <w:bookmarkStart w:id="1281" w:name="_Toc395626672"/>
      <w:bookmarkStart w:id="1282" w:name="_Toc312141145"/>
      <w:bookmarkStart w:id="1283" w:name="_Toc10959"/>
      <w:r>
        <w:rPr>
          <w:rFonts w:hint="eastAsia" w:ascii="宋体" w:hAnsi="宋体"/>
          <w:sz w:val="24"/>
          <w:szCs w:val="24"/>
          <w:highlight w:val="none"/>
        </w:rPr>
        <w:t xml:space="preserve">   磋商响应</w:t>
      </w:r>
      <w:r>
        <w:rPr>
          <w:rFonts w:hint="eastAsia" w:ascii="宋体" w:hAnsi="宋体"/>
          <w:sz w:val="24"/>
          <w:highlight w:val="none"/>
        </w:rPr>
        <w:t>供应商</w:t>
      </w:r>
      <w:r>
        <w:rPr>
          <w:rFonts w:ascii="宋体" w:hAnsi="宋体"/>
          <w:sz w:val="24"/>
          <w:highlight w:val="none"/>
        </w:rPr>
        <w:t>(盖</w:t>
      </w:r>
      <w:r>
        <w:rPr>
          <w:rFonts w:hint="eastAsia" w:ascii="宋体" w:hAnsi="宋体"/>
          <w:sz w:val="24"/>
          <w:highlight w:val="none"/>
          <w:lang w:eastAsia="zh-CN"/>
        </w:rPr>
        <w:t>单位公</w:t>
      </w:r>
      <w:r>
        <w:rPr>
          <w:rFonts w:ascii="宋体" w:hAnsi="宋体"/>
          <w:sz w:val="24"/>
          <w:highlight w:val="none"/>
        </w:rPr>
        <w:t>章)：</w:t>
      </w:r>
      <w:r>
        <w:rPr>
          <w:rFonts w:hint="eastAsia" w:ascii="宋体" w:hAnsi="宋体"/>
          <w:sz w:val="24"/>
          <w:highlight w:val="none"/>
          <w:u w:val="single"/>
          <w:lang w:val="en-US" w:eastAsia="zh-CN"/>
        </w:rPr>
        <w:t xml:space="preserve">                    </w:t>
      </w:r>
    </w:p>
    <w:p w14:paraId="3BBEF379">
      <w:pPr>
        <w:spacing w:line="480" w:lineRule="auto"/>
        <w:jc w:val="center"/>
        <w:rPr>
          <w:rFonts w:hint="default" w:ascii="宋体" w:hAnsi="宋体" w:eastAsia="宋体"/>
          <w:sz w:val="24"/>
          <w:highlight w:val="none"/>
          <w:u w:val="single"/>
          <w:lang w:val="en-US" w:eastAsia="zh-CN"/>
        </w:rPr>
      </w:pPr>
      <w:r>
        <w:rPr>
          <w:rFonts w:ascii="宋体" w:hAnsi="宋体"/>
          <w:sz w:val="24"/>
          <w:highlight w:val="none"/>
        </w:rPr>
        <w:t>法定代表人 (</w:t>
      </w:r>
      <w:r>
        <w:rPr>
          <w:rFonts w:hint="eastAsia" w:ascii="宋体" w:hAnsi="宋体"/>
          <w:sz w:val="24"/>
          <w:highlight w:val="none"/>
          <w:lang w:eastAsia="zh-CN"/>
        </w:rPr>
        <w:t>电子</w:t>
      </w:r>
      <w:r>
        <w:rPr>
          <w:rFonts w:hint="eastAsia" w:ascii="宋体" w:hAnsi="宋体"/>
          <w:sz w:val="24"/>
          <w:highlight w:val="none"/>
        </w:rPr>
        <w:t>签章</w:t>
      </w:r>
      <w:r>
        <w:rPr>
          <w:rFonts w:ascii="宋体" w:hAnsi="宋体"/>
          <w:sz w:val="24"/>
          <w:highlight w:val="none"/>
        </w:rPr>
        <w:t>)：</w:t>
      </w:r>
      <w:r>
        <w:rPr>
          <w:rFonts w:hint="eastAsia" w:ascii="宋体" w:hAnsi="宋体"/>
          <w:sz w:val="24"/>
          <w:highlight w:val="none"/>
          <w:u w:val="single"/>
          <w:lang w:val="en-US" w:eastAsia="zh-CN"/>
        </w:rPr>
        <w:t xml:space="preserve">                        </w:t>
      </w:r>
    </w:p>
    <w:p w14:paraId="0562A989">
      <w:pPr>
        <w:spacing w:line="480" w:lineRule="auto"/>
        <w:jc w:val="center"/>
        <w:rPr>
          <w:rFonts w:ascii="宋体" w:hAnsi="宋体"/>
          <w:sz w:val="24"/>
          <w:highlight w:val="none"/>
        </w:rPr>
      </w:pPr>
      <w:r>
        <w:rPr>
          <w:rFonts w:hint="eastAsia" w:ascii="宋体" w:hAnsi="宋体"/>
          <w:sz w:val="24"/>
          <w:highlight w:val="none"/>
        </w:rPr>
        <w:t xml:space="preserve">   日   期： </w:t>
      </w:r>
      <w:r>
        <w:rPr>
          <w:rFonts w:hint="eastAsia" w:ascii="宋体" w:hAnsi="宋体"/>
          <w:sz w:val="24"/>
          <w:highlight w:val="none"/>
          <w:lang w:val="en-US" w:eastAsia="zh-CN"/>
        </w:rPr>
        <w:t xml:space="preserve"> </w:t>
      </w:r>
      <w:r>
        <w:rPr>
          <w:rFonts w:hint="eastAsia" w:ascii="宋体" w:hAnsi="宋体"/>
          <w:sz w:val="24"/>
          <w:highlight w:val="none"/>
        </w:rPr>
        <w:t xml:space="preserve"> </w:t>
      </w:r>
      <w:r>
        <w:rPr>
          <w:rFonts w:ascii="宋体" w:hAnsi="宋体"/>
          <w:sz w:val="24"/>
          <w:highlight w:val="none"/>
        </w:rPr>
        <w:t>年</w:t>
      </w: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ascii="宋体" w:hAnsi="宋体"/>
          <w:sz w:val="24"/>
          <w:highlight w:val="none"/>
        </w:rPr>
        <w:t>月</w:t>
      </w: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sz w:val="24"/>
          <w:highlight w:val="none"/>
        </w:rPr>
        <w:t xml:space="preserve"> 日</w:t>
      </w:r>
    </w:p>
    <w:p w14:paraId="266528A6">
      <w:pPr>
        <w:spacing w:line="480" w:lineRule="auto"/>
        <w:jc w:val="center"/>
        <w:rPr>
          <w:rFonts w:ascii="宋体" w:hAnsi="宋体"/>
          <w:sz w:val="24"/>
          <w:highlight w:val="none"/>
        </w:rPr>
      </w:pPr>
    </w:p>
    <w:p w14:paraId="55F9A32D">
      <w:pPr>
        <w:pStyle w:val="4"/>
        <w:jc w:val="center"/>
        <w:outlineLvl w:val="9"/>
        <w:rPr>
          <w:rFonts w:hint="eastAsia" w:ascii="宋体" w:hAnsi="宋体" w:cs="宋体"/>
          <w:sz w:val="28"/>
          <w:szCs w:val="28"/>
          <w:highlight w:val="none"/>
        </w:rPr>
      </w:pPr>
    </w:p>
    <w:p w14:paraId="75B69A94">
      <w:pPr>
        <w:rPr>
          <w:rFonts w:hint="eastAsia"/>
          <w:highlight w:val="none"/>
        </w:rPr>
      </w:pPr>
    </w:p>
    <w:p w14:paraId="2081AE55">
      <w:pPr>
        <w:rPr>
          <w:rFonts w:hint="eastAsia" w:ascii="宋体" w:hAnsi="宋体" w:cs="宋体"/>
          <w:sz w:val="28"/>
          <w:szCs w:val="28"/>
          <w:highlight w:val="none"/>
        </w:rPr>
      </w:pPr>
      <w:r>
        <w:rPr>
          <w:rFonts w:hint="eastAsia" w:ascii="宋体" w:hAnsi="宋体" w:cs="宋体"/>
          <w:sz w:val="28"/>
          <w:szCs w:val="28"/>
          <w:highlight w:val="none"/>
        </w:rPr>
        <w:br w:type="page"/>
      </w:r>
    </w:p>
    <w:p w14:paraId="73754E6B">
      <w:pPr>
        <w:pStyle w:val="4"/>
        <w:jc w:val="center"/>
        <w:rPr>
          <w:rFonts w:ascii="宋体" w:hAnsi="宋体"/>
          <w:b/>
          <w:sz w:val="28"/>
          <w:szCs w:val="28"/>
          <w:highlight w:val="none"/>
        </w:rPr>
      </w:pPr>
      <w:bookmarkStart w:id="1284" w:name="_Toc25504"/>
      <w:r>
        <w:rPr>
          <w:rFonts w:hint="eastAsia" w:ascii="宋体" w:hAnsi="宋体" w:cs="宋体"/>
          <w:sz w:val="28"/>
          <w:szCs w:val="28"/>
          <w:highlight w:val="none"/>
        </w:rPr>
        <w:t>附</w:t>
      </w:r>
      <w:r>
        <w:rPr>
          <w:rFonts w:hint="eastAsia" w:ascii="宋体" w:hAnsi="宋体" w:cs="宋体"/>
          <w:sz w:val="28"/>
          <w:szCs w:val="28"/>
          <w:highlight w:val="none"/>
          <w:lang w:eastAsia="zh-CN"/>
        </w:rPr>
        <w:t>表</w:t>
      </w:r>
      <w:r>
        <w:rPr>
          <w:rFonts w:hint="eastAsia" w:ascii="宋体" w:hAnsi="宋体" w:cs="宋体"/>
          <w:sz w:val="28"/>
          <w:szCs w:val="28"/>
          <w:highlight w:val="none"/>
        </w:rPr>
        <w:t>2：</w:t>
      </w:r>
      <w:bookmarkEnd w:id="1281"/>
      <w:bookmarkEnd w:id="1282"/>
      <w:bookmarkEnd w:id="1283"/>
      <w:r>
        <w:rPr>
          <w:rFonts w:hint="eastAsia" w:ascii="宋体" w:hAnsi="宋体"/>
          <w:b/>
          <w:bCs/>
          <w:sz w:val="28"/>
          <w:szCs w:val="28"/>
          <w:highlight w:val="none"/>
        </w:rPr>
        <w:t>技术参数偏离表</w:t>
      </w:r>
      <w:r>
        <w:rPr>
          <w:rFonts w:hint="eastAsia" w:ascii="宋体" w:hAnsi="宋体"/>
          <w:sz w:val="28"/>
          <w:szCs w:val="28"/>
          <w:highlight w:val="none"/>
        </w:rPr>
        <w:t>（格式）</w:t>
      </w:r>
      <w:bookmarkEnd w:id="1284"/>
    </w:p>
    <w:p w14:paraId="747AC2B7">
      <w:pPr>
        <w:snapToGrid w:val="0"/>
        <w:spacing w:line="520" w:lineRule="exact"/>
        <w:rPr>
          <w:rFonts w:ascii="宋体" w:hAnsi="宋体"/>
          <w:sz w:val="24"/>
          <w:szCs w:val="24"/>
          <w:highlight w:val="none"/>
        </w:rPr>
      </w:pPr>
      <w:r>
        <w:rPr>
          <w:rFonts w:hint="eastAsia" w:ascii="宋体" w:hAnsi="宋体"/>
          <w:sz w:val="24"/>
          <w:szCs w:val="24"/>
          <w:highlight w:val="none"/>
        </w:rPr>
        <w:t>磋商响应供应商名称：</w:t>
      </w:r>
    </w:p>
    <w:p w14:paraId="57B26B46">
      <w:pPr>
        <w:snapToGrid w:val="0"/>
        <w:spacing w:line="520" w:lineRule="exact"/>
        <w:rPr>
          <w:rFonts w:ascii="宋体" w:hAnsi="宋体"/>
          <w:sz w:val="24"/>
          <w:szCs w:val="24"/>
          <w:highlight w:val="none"/>
          <w:u w:val="single"/>
        </w:rPr>
      </w:pPr>
      <w:r>
        <w:rPr>
          <w:rFonts w:hint="eastAsia" w:ascii="宋体" w:hAnsi="宋体"/>
          <w:sz w:val="24"/>
          <w:szCs w:val="24"/>
          <w:highlight w:val="none"/>
        </w:rPr>
        <w:t>项目编号：</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282"/>
        <w:gridCol w:w="2078"/>
        <w:gridCol w:w="1891"/>
        <w:gridCol w:w="1973"/>
        <w:gridCol w:w="1252"/>
      </w:tblGrid>
      <w:tr w14:paraId="094FD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top"/>
          </w:tcPr>
          <w:p w14:paraId="73ED67AA">
            <w:pPr>
              <w:spacing w:line="480" w:lineRule="exact"/>
              <w:jc w:val="center"/>
              <w:rPr>
                <w:rFonts w:ascii="宋体" w:hAnsi="宋体"/>
                <w:bCs/>
                <w:sz w:val="22"/>
                <w:szCs w:val="22"/>
                <w:highlight w:val="none"/>
              </w:rPr>
            </w:pPr>
            <w:r>
              <w:rPr>
                <w:rFonts w:hint="eastAsia" w:ascii="宋体" w:hAnsi="宋体"/>
                <w:bCs/>
                <w:sz w:val="22"/>
                <w:szCs w:val="22"/>
                <w:highlight w:val="none"/>
              </w:rPr>
              <w:t>序号</w:t>
            </w:r>
          </w:p>
        </w:tc>
        <w:tc>
          <w:tcPr>
            <w:tcW w:w="1282" w:type="dxa"/>
            <w:noWrap w:val="0"/>
            <w:vAlign w:val="top"/>
          </w:tcPr>
          <w:p w14:paraId="303BDE36">
            <w:pPr>
              <w:spacing w:line="480" w:lineRule="exact"/>
              <w:jc w:val="center"/>
              <w:rPr>
                <w:rFonts w:ascii="宋体" w:hAnsi="宋体"/>
                <w:bCs/>
                <w:sz w:val="22"/>
                <w:szCs w:val="22"/>
                <w:highlight w:val="none"/>
              </w:rPr>
            </w:pPr>
            <w:r>
              <w:rPr>
                <w:rFonts w:hint="eastAsia" w:ascii="宋体" w:hAnsi="宋体"/>
                <w:bCs/>
                <w:sz w:val="22"/>
                <w:szCs w:val="22"/>
                <w:highlight w:val="none"/>
              </w:rPr>
              <w:t>货物名称</w:t>
            </w:r>
          </w:p>
        </w:tc>
        <w:tc>
          <w:tcPr>
            <w:tcW w:w="2078" w:type="dxa"/>
            <w:noWrap w:val="0"/>
            <w:vAlign w:val="top"/>
          </w:tcPr>
          <w:p w14:paraId="352B6EDD">
            <w:pPr>
              <w:spacing w:line="480" w:lineRule="exact"/>
              <w:jc w:val="center"/>
              <w:rPr>
                <w:rFonts w:ascii="宋体" w:hAnsi="宋体"/>
                <w:bCs/>
                <w:sz w:val="22"/>
                <w:szCs w:val="22"/>
                <w:highlight w:val="none"/>
              </w:rPr>
            </w:pPr>
            <w:r>
              <w:rPr>
                <w:rFonts w:hint="eastAsia" w:ascii="宋体" w:hAnsi="宋体"/>
                <w:bCs/>
                <w:sz w:val="22"/>
                <w:szCs w:val="22"/>
                <w:highlight w:val="none"/>
              </w:rPr>
              <w:t>磋商技术参数</w:t>
            </w:r>
          </w:p>
          <w:p w14:paraId="2F71B9B3">
            <w:pPr>
              <w:spacing w:line="480" w:lineRule="exact"/>
              <w:jc w:val="center"/>
              <w:rPr>
                <w:rFonts w:ascii="宋体" w:hAnsi="宋体"/>
                <w:bCs/>
                <w:sz w:val="22"/>
                <w:szCs w:val="22"/>
                <w:highlight w:val="none"/>
              </w:rPr>
            </w:pPr>
            <w:r>
              <w:rPr>
                <w:rFonts w:hint="eastAsia" w:ascii="宋体" w:hAnsi="宋体"/>
                <w:bCs/>
                <w:sz w:val="22"/>
                <w:szCs w:val="22"/>
                <w:highlight w:val="none"/>
              </w:rPr>
              <w:t>要求</w:t>
            </w:r>
          </w:p>
        </w:tc>
        <w:tc>
          <w:tcPr>
            <w:tcW w:w="1891" w:type="dxa"/>
            <w:noWrap w:val="0"/>
            <w:vAlign w:val="top"/>
          </w:tcPr>
          <w:p w14:paraId="1BCEF239">
            <w:pPr>
              <w:spacing w:line="480" w:lineRule="exact"/>
              <w:jc w:val="center"/>
              <w:rPr>
                <w:rFonts w:ascii="宋体" w:hAnsi="宋体"/>
                <w:bCs/>
                <w:sz w:val="22"/>
                <w:szCs w:val="22"/>
                <w:highlight w:val="none"/>
              </w:rPr>
            </w:pPr>
            <w:r>
              <w:rPr>
                <w:rFonts w:hint="eastAsia" w:ascii="宋体" w:hAnsi="宋体"/>
                <w:bCs/>
                <w:sz w:val="22"/>
                <w:szCs w:val="22"/>
                <w:highlight w:val="none"/>
              </w:rPr>
              <w:t>磋商响应品牌和型号</w:t>
            </w:r>
          </w:p>
        </w:tc>
        <w:tc>
          <w:tcPr>
            <w:tcW w:w="1973" w:type="dxa"/>
            <w:noWrap w:val="0"/>
            <w:vAlign w:val="top"/>
          </w:tcPr>
          <w:p w14:paraId="27E9BF25">
            <w:pPr>
              <w:spacing w:line="480" w:lineRule="exact"/>
              <w:jc w:val="center"/>
              <w:rPr>
                <w:rFonts w:ascii="宋体" w:hAnsi="宋体"/>
                <w:bCs/>
                <w:sz w:val="22"/>
                <w:szCs w:val="22"/>
                <w:highlight w:val="none"/>
              </w:rPr>
            </w:pPr>
            <w:r>
              <w:rPr>
                <w:rFonts w:hint="eastAsia" w:ascii="宋体" w:hAnsi="宋体"/>
                <w:bCs/>
                <w:sz w:val="22"/>
                <w:szCs w:val="22"/>
                <w:highlight w:val="none"/>
              </w:rPr>
              <w:t>磋商响应产品</w:t>
            </w:r>
          </w:p>
          <w:p w14:paraId="7F2DE394">
            <w:pPr>
              <w:spacing w:line="480" w:lineRule="exact"/>
              <w:jc w:val="center"/>
              <w:rPr>
                <w:rFonts w:ascii="宋体" w:hAnsi="宋体"/>
                <w:bCs/>
                <w:sz w:val="22"/>
                <w:szCs w:val="22"/>
                <w:highlight w:val="none"/>
              </w:rPr>
            </w:pPr>
            <w:r>
              <w:rPr>
                <w:rFonts w:hint="eastAsia" w:ascii="宋体" w:hAnsi="宋体"/>
                <w:bCs/>
                <w:sz w:val="22"/>
                <w:szCs w:val="22"/>
                <w:highlight w:val="none"/>
              </w:rPr>
              <w:t>技术参数</w:t>
            </w:r>
          </w:p>
        </w:tc>
        <w:tc>
          <w:tcPr>
            <w:tcW w:w="1252" w:type="dxa"/>
            <w:noWrap w:val="0"/>
            <w:vAlign w:val="top"/>
          </w:tcPr>
          <w:p w14:paraId="2D23AA08">
            <w:pPr>
              <w:spacing w:line="480" w:lineRule="exact"/>
              <w:jc w:val="center"/>
              <w:rPr>
                <w:rFonts w:ascii="宋体" w:hAnsi="宋体"/>
                <w:bCs/>
                <w:sz w:val="22"/>
                <w:szCs w:val="22"/>
                <w:highlight w:val="none"/>
              </w:rPr>
            </w:pPr>
            <w:r>
              <w:rPr>
                <w:rFonts w:hint="eastAsia" w:ascii="宋体" w:hAnsi="宋体"/>
                <w:bCs/>
                <w:sz w:val="22"/>
                <w:szCs w:val="22"/>
                <w:highlight w:val="none"/>
              </w:rPr>
              <w:t>偏离说明</w:t>
            </w:r>
          </w:p>
        </w:tc>
      </w:tr>
      <w:tr w14:paraId="192DE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top"/>
          </w:tcPr>
          <w:p w14:paraId="2055AA90">
            <w:pPr>
              <w:spacing w:line="480" w:lineRule="exact"/>
              <w:rPr>
                <w:rFonts w:ascii="宋体" w:hAnsi="宋体"/>
                <w:bCs/>
                <w:sz w:val="22"/>
                <w:szCs w:val="22"/>
                <w:highlight w:val="none"/>
              </w:rPr>
            </w:pPr>
          </w:p>
        </w:tc>
        <w:tc>
          <w:tcPr>
            <w:tcW w:w="1282" w:type="dxa"/>
            <w:noWrap w:val="0"/>
            <w:vAlign w:val="top"/>
          </w:tcPr>
          <w:p w14:paraId="7CCCDCF6">
            <w:pPr>
              <w:spacing w:line="480" w:lineRule="exact"/>
              <w:rPr>
                <w:rFonts w:ascii="宋体" w:hAnsi="宋体"/>
                <w:bCs/>
                <w:sz w:val="22"/>
                <w:szCs w:val="22"/>
                <w:highlight w:val="none"/>
              </w:rPr>
            </w:pPr>
          </w:p>
        </w:tc>
        <w:tc>
          <w:tcPr>
            <w:tcW w:w="2078" w:type="dxa"/>
            <w:noWrap w:val="0"/>
            <w:vAlign w:val="top"/>
          </w:tcPr>
          <w:p w14:paraId="05CB5899">
            <w:pPr>
              <w:spacing w:line="480" w:lineRule="exact"/>
              <w:rPr>
                <w:rFonts w:ascii="宋体" w:hAnsi="宋体"/>
                <w:bCs/>
                <w:sz w:val="22"/>
                <w:szCs w:val="22"/>
                <w:highlight w:val="none"/>
              </w:rPr>
            </w:pPr>
          </w:p>
        </w:tc>
        <w:tc>
          <w:tcPr>
            <w:tcW w:w="1891" w:type="dxa"/>
            <w:noWrap w:val="0"/>
            <w:vAlign w:val="top"/>
          </w:tcPr>
          <w:p w14:paraId="29A15B43">
            <w:pPr>
              <w:spacing w:line="480" w:lineRule="exact"/>
              <w:rPr>
                <w:rFonts w:ascii="宋体" w:hAnsi="宋体"/>
                <w:bCs/>
                <w:sz w:val="22"/>
                <w:szCs w:val="22"/>
                <w:highlight w:val="none"/>
              </w:rPr>
            </w:pPr>
          </w:p>
        </w:tc>
        <w:tc>
          <w:tcPr>
            <w:tcW w:w="1973" w:type="dxa"/>
            <w:noWrap w:val="0"/>
            <w:vAlign w:val="top"/>
          </w:tcPr>
          <w:p w14:paraId="1C5A5191">
            <w:pPr>
              <w:spacing w:line="480" w:lineRule="exact"/>
              <w:rPr>
                <w:rFonts w:ascii="宋体" w:hAnsi="宋体"/>
                <w:bCs/>
                <w:sz w:val="22"/>
                <w:szCs w:val="22"/>
                <w:highlight w:val="none"/>
              </w:rPr>
            </w:pPr>
          </w:p>
        </w:tc>
        <w:tc>
          <w:tcPr>
            <w:tcW w:w="1252" w:type="dxa"/>
            <w:noWrap w:val="0"/>
            <w:vAlign w:val="top"/>
          </w:tcPr>
          <w:p w14:paraId="05FB04B0">
            <w:pPr>
              <w:spacing w:line="480" w:lineRule="exact"/>
              <w:rPr>
                <w:rFonts w:ascii="宋体" w:hAnsi="宋体"/>
                <w:bCs/>
                <w:sz w:val="22"/>
                <w:szCs w:val="22"/>
                <w:highlight w:val="none"/>
              </w:rPr>
            </w:pPr>
          </w:p>
        </w:tc>
      </w:tr>
      <w:tr w14:paraId="1BE36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top"/>
          </w:tcPr>
          <w:p w14:paraId="4E190867">
            <w:pPr>
              <w:spacing w:line="480" w:lineRule="exact"/>
              <w:rPr>
                <w:rFonts w:ascii="宋体" w:hAnsi="宋体"/>
                <w:bCs/>
                <w:sz w:val="22"/>
                <w:szCs w:val="22"/>
                <w:highlight w:val="none"/>
              </w:rPr>
            </w:pPr>
          </w:p>
        </w:tc>
        <w:tc>
          <w:tcPr>
            <w:tcW w:w="1282" w:type="dxa"/>
            <w:noWrap w:val="0"/>
            <w:vAlign w:val="top"/>
          </w:tcPr>
          <w:p w14:paraId="4886ABF7">
            <w:pPr>
              <w:spacing w:line="480" w:lineRule="exact"/>
              <w:rPr>
                <w:rFonts w:ascii="宋体" w:hAnsi="宋体"/>
                <w:bCs/>
                <w:sz w:val="22"/>
                <w:szCs w:val="22"/>
                <w:highlight w:val="none"/>
              </w:rPr>
            </w:pPr>
          </w:p>
        </w:tc>
        <w:tc>
          <w:tcPr>
            <w:tcW w:w="2078" w:type="dxa"/>
            <w:noWrap w:val="0"/>
            <w:vAlign w:val="top"/>
          </w:tcPr>
          <w:p w14:paraId="34CD2AC4">
            <w:pPr>
              <w:spacing w:line="480" w:lineRule="exact"/>
              <w:rPr>
                <w:rFonts w:ascii="宋体" w:hAnsi="宋体"/>
                <w:bCs/>
                <w:sz w:val="22"/>
                <w:szCs w:val="22"/>
                <w:highlight w:val="none"/>
              </w:rPr>
            </w:pPr>
          </w:p>
        </w:tc>
        <w:tc>
          <w:tcPr>
            <w:tcW w:w="1891" w:type="dxa"/>
            <w:noWrap w:val="0"/>
            <w:vAlign w:val="top"/>
          </w:tcPr>
          <w:p w14:paraId="1703275D">
            <w:pPr>
              <w:spacing w:line="480" w:lineRule="exact"/>
              <w:rPr>
                <w:rFonts w:ascii="宋体" w:hAnsi="宋体"/>
                <w:bCs/>
                <w:sz w:val="22"/>
                <w:szCs w:val="22"/>
                <w:highlight w:val="none"/>
              </w:rPr>
            </w:pPr>
          </w:p>
        </w:tc>
        <w:tc>
          <w:tcPr>
            <w:tcW w:w="1973" w:type="dxa"/>
            <w:noWrap w:val="0"/>
            <w:vAlign w:val="top"/>
          </w:tcPr>
          <w:p w14:paraId="77AB8DD4">
            <w:pPr>
              <w:spacing w:line="480" w:lineRule="exact"/>
              <w:rPr>
                <w:rFonts w:ascii="宋体" w:hAnsi="宋体"/>
                <w:bCs/>
                <w:sz w:val="22"/>
                <w:szCs w:val="22"/>
                <w:highlight w:val="none"/>
              </w:rPr>
            </w:pPr>
          </w:p>
        </w:tc>
        <w:tc>
          <w:tcPr>
            <w:tcW w:w="1252" w:type="dxa"/>
            <w:noWrap w:val="0"/>
            <w:vAlign w:val="top"/>
          </w:tcPr>
          <w:p w14:paraId="32BC97BD">
            <w:pPr>
              <w:spacing w:line="480" w:lineRule="exact"/>
              <w:rPr>
                <w:rFonts w:ascii="宋体" w:hAnsi="宋体"/>
                <w:bCs/>
                <w:sz w:val="22"/>
                <w:szCs w:val="22"/>
                <w:highlight w:val="none"/>
              </w:rPr>
            </w:pPr>
          </w:p>
        </w:tc>
      </w:tr>
      <w:tr w14:paraId="1ADCA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top"/>
          </w:tcPr>
          <w:p w14:paraId="329F642E">
            <w:pPr>
              <w:spacing w:line="480" w:lineRule="exact"/>
              <w:rPr>
                <w:rFonts w:ascii="宋体" w:hAnsi="宋体"/>
                <w:bCs/>
                <w:sz w:val="22"/>
                <w:szCs w:val="22"/>
                <w:highlight w:val="none"/>
              </w:rPr>
            </w:pPr>
          </w:p>
        </w:tc>
        <w:tc>
          <w:tcPr>
            <w:tcW w:w="1282" w:type="dxa"/>
            <w:noWrap w:val="0"/>
            <w:vAlign w:val="top"/>
          </w:tcPr>
          <w:p w14:paraId="33D6F5F0">
            <w:pPr>
              <w:spacing w:line="480" w:lineRule="exact"/>
              <w:rPr>
                <w:rFonts w:ascii="宋体" w:hAnsi="宋体"/>
                <w:bCs/>
                <w:sz w:val="22"/>
                <w:szCs w:val="22"/>
                <w:highlight w:val="none"/>
              </w:rPr>
            </w:pPr>
          </w:p>
        </w:tc>
        <w:tc>
          <w:tcPr>
            <w:tcW w:w="2078" w:type="dxa"/>
            <w:noWrap w:val="0"/>
            <w:vAlign w:val="top"/>
          </w:tcPr>
          <w:p w14:paraId="2138F180">
            <w:pPr>
              <w:spacing w:line="480" w:lineRule="exact"/>
              <w:rPr>
                <w:rFonts w:ascii="宋体" w:hAnsi="宋体"/>
                <w:bCs/>
                <w:sz w:val="22"/>
                <w:szCs w:val="22"/>
                <w:highlight w:val="none"/>
              </w:rPr>
            </w:pPr>
          </w:p>
        </w:tc>
        <w:tc>
          <w:tcPr>
            <w:tcW w:w="1891" w:type="dxa"/>
            <w:noWrap w:val="0"/>
            <w:vAlign w:val="top"/>
          </w:tcPr>
          <w:p w14:paraId="4AF7F507">
            <w:pPr>
              <w:spacing w:line="480" w:lineRule="exact"/>
              <w:rPr>
                <w:rFonts w:ascii="宋体" w:hAnsi="宋体"/>
                <w:bCs/>
                <w:sz w:val="22"/>
                <w:szCs w:val="22"/>
                <w:highlight w:val="none"/>
              </w:rPr>
            </w:pPr>
          </w:p>
        </w:tc>
        <w:tc>
          <w:tcPr>
            <w:tcW w:w="1973" w:type="dxa"/>
            <w:noWrap w:val="0"/>
            <w:vAlign w:val="top"/>
          </w:tcPr>
          <w:p w14:paraId="63C7750C">
            <w:pPr>
              <w:spacing w:line="480" w:lineRule="exact"/>
              <w:rPr>
                <w:rFonts w:ascii="宋体" w:hAnsi="宋体"/>
                <w:bCs/>
                <w:sz w:val="22"/>
                <w:szCs w:val="22"/>
                <w:highlight w:val="none"/>
              </w:rPr>
            </w:pPr>
          </w:p>
        </w:tc>
        <w:tc>
          <w:tcPr>
            <w:tcW w:w="1252" w:type="dxa"/>
            <w:noWrap w:val="0"/>
            <w:vAlign w:val="top"/>
          </w:tcPr>
          <w:p w14:paraId="06A0CA41">
            <w:pPr>
              <w:spacing w:line="480" w:lineRule="exact"/>
              <w:rPr>
                <w:rFonts w:ascii="宋体" w:hAnsi="宋体"/>
                <w:bCs/>
                <w:sz w:val="22"/>
                <w:szCs w:val="22"/>
                <w:highlight w:val="none"/>
              </w:rPr>
            </w:pPr>
          </w:p>
        </w:tc>
      </w:tr>
      <w:tr w14:paraId="5F502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top"/>
          </w:tcPr>
          <w:p w14:paraId="310432AD">
            <w:pPr>
              <w:spacing w:line="480" w:lineRule="exact"/>
              <w:rPr>
                <w:rFonts w:ascii="宋体" w:hAnsi="宋体"/>
                <w:bCs/>
                <w:sz w:val="22"/>
                <w:szCs w:val="22"/>
                <w:highlight w:val="none"/>
              </w:rPr>
            </w:pPr>
          </w:p>
        </w:tc>
        <w:tc>
          <w:tcPr>
            <w:tcW w:w="1282" w:type="dxa"/>
            <w:noWrap w:val="0"/>
            <w:vAlign w:val="top"/>
          </w:tcPr>
          <w:p w14:paraId="0C5717E2">
            <w:pPr>
              <w:spacing w:line="480" w:lineRule="exact"/>
              <w:rPr>
                <w:rFonts w:ascii="宋体" w:hAnsi="宋体"/>
                <w:bCs/>
                <w:sz w:val="22"/>
                <w:szCs w:val="22"/>
                <w:highlight w:val="none"/>
              </w:rPr>
            </w:pPr>
          </w:p>
        </w:tc>
        <w:tc>
          <w:tcPr>
            <w:tcW w:w="2078" w:type="dxa"/>
            <w:noWrap w:val="0"/>
            <w:vAlign w:val="top"/>
          </w:tcPr>
          <w:p w14:paraId="5B5E21AD">
            <w:pPr>
              <w:spacing w:line="480" w:lineRule="exact"/>
              <w:rPr>
                <w:rFonts w:ascii="宋体" w:hAnsi="宋体"/>
                <w:bCs/>
                <w:sz w:val="22"/>
                <w:szCs w:val="22"/>
                <w:highlight w:val="none"/>
              </w:rPr>
            </w:pPr>
          </w:p>
        </w:tc>
        <w:tc>
          <w:tcPr>
            <w:tcW w:w="1891" w:type="dxa"/>
            <w:noWrap w:val="0"/>
            <w:vAlign w:val="top"/>
          </w:tcPr>
          <w:p w14:paraId="0B342C15">
            <w:pPr>
              <w:spacing w:line="480" w:lineRule="exact"/>
              <w:rPr>
                <w:rFonts w:ascii="宋体" w:hAnsi="宋体"/>
                <w:bCs/>
                <w:sz w:val="22"/>
                <w:szCs w:val="22"/>
                <w:highlight w:val="none"/>
              </w:rPr>
            </w:pPr>
          </w:p>
        </w:tc>
        <w:tc>
          <w:tcPr>
            <w:tcW w:w="1973" w:type="dxa"/>
            <w:noWrap w:val="0"/>
            <w:vAlign w:val="top"/>
          </w:tcPr>
          <w:p w14:paraId="5150EBFB">
            <w:pPr>
              <w:spacing w:line="480" w:lineRule="exact"/>
              <w:rPr>
                <w:rFonts w:ascii="宋体" w:hAnsi="宋体"/>
                <w:bCs/>
                <w:sz w:val="22"/>
                <w:szCs w:val="22"/>
                <w:highlight w:val="none"/>
              </w:rPr>
            </w:pPr>
          </w:p>
        </w:tc>
        <w:tc>
          <w:tcPr>
            <w:tcW w:w="1252" w:type="dxa"/>
            <w:noWrap w:val="0"/>
            <w:vAlign w:val="top"/>
          </w:tcPr>
          <w:p w14:paraId="568CB152">
            <w:pPr>
              <w:spacing w:line="480" w:lineRule="exact"/>
              <w:rPr>
                <w:rFonts w:ascii="宋体" w:hAnsi="宋体"/>
                <w:bCs/>
                <w:sz w:val="22"/>
                <w:szCs w:val="22"/>
                <w:highlight w:val="none"/>
              </w:rPr>
            </w:pPr>
          </w:p>
        </w:tc>
      </w:tr>
      <w:tr w14:paraId="3F697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top"/>
          </w:tcPr>
          <w:p w14:paraId="2DA799B8">
            <w:pPr>
              <w:spacing w:line="480" w:lineRule="exact"/>
              <w:rPr>
                <w:rFonts w:ascii="宋体" w:hAnsi="宋体"/>
                <w:bCs/>
                <w:sz w:val="22"/>
                <w:szCs w:val="22"/>
                <w:highlight w:val="none"/>
              </w:rPr>
            </w:pPr>
          </w:p>
        </w:tc>
        <w:tc>
          <w:tcPr>
            <w:tcW w:w="1282" w:type="dxa"/>
            <w:noWrap w:val="0"/>
            <w:vAlign w:val="top"/>
          </w:tcPr>
          <w:p w14:paraId="622E12B7">
            <w:pPr>
              <w:spacing w:line="480" w:lineRule="exact"/>
              <w:rPr>
                <w:rFonts w:ascii="宋体" w:hAnsi="宋体"/>
                <w:bCs/>
                <w:sz w:val="22"/>
                <w:szCs w:val="22"/>
                <w:highlight w:val="none"/>
              </w:rPr>
            </w:pPr>
          </w:p>
        </w:tc>
        <w:tc>
          <w:tcPr>
            <w:tcW w:w="2078" w:type="dxa"/>
            <w:noWrap w:val="0"/>
            <w:vAlign w:val="top"/>
          </w:tcPr>
          <w:p w14:paraId="1B49952A">
            <w:pPr>
              <w:spacing w:line="480" w:lineRule="exact"/>
              <w:rPr>
                <w:rFonts w:ascii="宋体" w:hAnsi="宋体"/>
                <w:bCs/>
                <w:sz w:val="22"/>
                <w:szCs w:val="22"/>
                <w:highlight w:val="none"/>
              </w:rPr>
            </w:pPr>
          </w:p>
        </w:tc>
        <w:tc>
          <w:tcPr>
            <w:tcW w:w="1891" w:type="dxa"/>
            <w:noWrap w:val="0"/>
            <w:vAlign w:val="top"/>
          </w:tcPr>
          <w:p w14:paraId="291A1E47">
            <w:pPr>
              <w:spacing w:line="480" w:lineRule="exact"/>
              <w:rPr>
                <w:rFonts w:ascii="宋体" w:hAnsi="宋体"/>
                <w:bCs/>
                <w:sz w:val="22"/>
                <w:szCs w:val="22"/>
                <w:highlight w:val="none"/>
              </w:rPr>
            </w:pPr>
          </w:p>
        </w:tc>
        <w:tc>
          <w:tcPr>
            <w:tcW w:w="1973" w:type="dxa"/>
            <w:noWrap w:val="0"/>
            <w:vAlign w:val="top"/>
          </w:tcPr>
          <w:p w14:paraId="0269131A">
            <w:pPr>
              <w:spacing w:line="480" w:lineRule="exact"/>
              <w:rPr>
                <w:rFonts w:ascii="宋体" w:hAnsi="宋体"/>
                <w:bCs/>
                <w:sz w:val="22"/>
                <w:szCs w:val="22"/>
                <w:highlight w:val="none"/>
              </w:rPr>
            </w:pPr>
          </w:p>
        </w:tc>
        <w:tc>
          <w:tcPr>
            <w:tcW w:w="1252" w:type="dxa"/>
            <w:noWrap w:val="0"/>
            <w:vAlign w:val="top"/>
          </w:tcPr>
          <w:p w14:paraId="302782EC">
            <w:pPr>
              <w:spacing w:line="480" w:lineRule="exact"/>
              <w:rPr>
                <w:rFonts w:ascii="宋体" w:hAnsi="宋体"/>
                <w:bCs/>
                <w:sz w:val="22"/>
                <w:szCs w:val="22"/>
                <w:highlight w:val="none"/>
              </w:rPr>
            </w:pPr>
          </w:p>
        </w:tc>
      </w:tr>
      <w:tr w14:paraId="6203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top"/>
          </w:tcPr>
          <w:p w14:paraId="54DB037B">
            <w:pPr>
              <w:spacing w:line="480" w:lineRule="exact"/>
              <w:rPr>
                <w:rFonts w:ascii="宋体" w:hAnsi="宋体"/>
                <w:bCs/>
                <w:sz w:val="22"/>
                <w:szCs w:val="22"/>
                <w:highlight w:val="none"/>
              </w:rPr>
            </w:pPr>
          </w:p>
        </w:tc>
        <w:tc>
          <w:tcPr>
            <w:tcW w:w="1282" w:type="dxa"/>
            <w:noWrap w:val="0"/>
            <w:vAlign w:val="top"/>
          </w:tcPr>
          <w:p w14:paraId="2DFEEE6E">
            <w:pPr>
              <w:spacing w:line="480" w:lineRule="exact"/>
              <w:rPr>
                <w:rFonts w:ascii="宋体" w:hAnsi="宋体"/>
                <w:bCs/>
                <w:sz w:val="22"/>
                <w:szCs w:val="22"/>
                <w:highlight w:val="none"/>
              </w:rPr>
            </w:pPr>
          </w:p>
        </w:tc>
        <w:tc>
          <w:tcPr>
            <w:tcW w:w="2078" w:type="dxa"/>
            <w:noWrap w:val="0"/>
            <w:vAlign w:val="top"/>
          </w:tcPr>
          <w:p w14:paraId="01B338F1">
            <w:pPr>
              <w:spacing w:line="480" w:lineRule="exact"/>
              <w:rPr>
                <w:rFonts w:ascii="宋体" w:hAnsi="宋体"/>
                <w:bCs/>
                <w:sz w:val="22"/>
                <w:szCs w:val="22"/>
                <w:highlight w:val="none"/>
              </w:rPr>
            </w:pPr>
          </w:p>
        </w:tc>
        <w:tc>
          <w:tcPr>
            <w:tcW w:w="1891" w:type="dxa"/>
            <w:noWrap w:val="0"/>
            <w:vAlign w:val="top"/>
          </w:tcPr>
          <w:p w14:paraId="7C98089B">
            <w:pPr>
              <w:spacing w:line="480" w:lineRule="exact"/>
              <w:rPr>
                <w:rFonts w:ascii="宋体" w:hAnsi="宋体"/>
                <w:bCs/>
                <w:sz w:val="22"/>
                <w:szCs w:val="22"/>
                <w:highlight w:val="none"/>
              </w:rPr>
            </w:pPr>
          </w:p>
        </w:tc>
        <w:tc>
          <w:tcPr>
            <w:tcW w:w="1973" w:type="dxa"/>
            <w:noWrap w:val="0"/>
            <w:vAlign w:val="top"/>
          </w:tcPr>
          <w:p w14:paraId="7852EF3B">
            <w:pPr>
              <w:spacing w:line="480" w:lineRule="exact"/>
              <w:rPr>
                <w:rFonts w:ascii="宋体" w:hAnsi="宋体"/>
                <w:bCs/>
                <w:sz w:val="22"/>
                <w:szCs w:val="22"/>
                <w:highlight w:val="none"/>
              </w:rPr>
            </w:pPr>
          </w:p>
        </w:tc>
        <w:tc>
          <w:tcPr>
            <w:tcW w:w="1252" w:type="dxa"/>
            <w:noWrap w:val="0"/>
            <w:vAlign w:val="top"/>
          </w:tcPr>
          <w:p w14:paraId="05FCC48D">
            <w:pPr>
              <w:spacing w:line="480" w:lineRule="exact"/>
              <w:rPr>
                <w:rFonts w:ascii="宋体" w:hAnsi="宋体"/>
                <w:bCs/>
                <w:sz w:val="22"/>
                <w:szCs w:val="22"/>
                <w:highlight w:val="none"/>
              </w:rPr>
            </w:pPr>
          </w:p>
        </w:tc>
      </w:tr>
      <w:tr w14:paraId="14F8C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top"/>
          </w:tcPr>
          <w:p w14:paraId="2DAA9F86">
            <w:pPr>
              <w:spacing w:line="480" w:lineRule="exact"/>
              <w:rPr>
                <w:rFonts w:ascii="宋体" w:hAnsi="宋体"/>
                <w:bCs/>
                <w:sz w:val="22"/>
                <w:szCs w:val="22"/>
                <w:highlight w:val="none"/>
              </w:rPr>
            </w:pPr>
          </w:p>
        </w:tc>
        <w:tc>
          <w:tcPr>
            <w:tcW w:w="1282" w:type="dxa"/>
            <w:noWrap w:val="0"/>
            <w:vAlign w:val="top"/>
          </w:tcPr>
          <w:p w14:paraId="376B6CC8">
            <w:pPr>
              <w:spacing w:line="480" w:lineRule="exact"/>
              <w:rPr>
                <w:rFonts w:ascii="宋体" w:hAnsi="宋体"/>
                <w:bCs/>
                <w:sz w:val="22"/>
                <w:szCs w:val="22"/>
                <w:highlight w:val="none"/>
              </w:rPr>
            </w:pPr>
          </w:p>
        </w:tc>
        <w:tc>
          <w:tcPr>
            <w:tcW w:w="2078" w:type="dxa"/>
            <w:noWrap w:val="0"/>
            <w:vAlign w:val="top"/>
          </w:tcPr>
          <w:p w14:paraId="4E9FDF5B">
            <w:pPr>
              <w:spacing w:line="480" w:lineRule="exact"/>
              <w:rPr>
                <w:rFonts w:ascii="宋体" w:hAnsi="宋体"/>
                <w:bCs/>
                <w:sz w:val="22"/>
                <w:szCs w:val="22"/>
                <w:highlight w:val="none"/>
              </w:rPr>
            </w:pPr>
          </w:p>
        </w:tc>
        <w:tc>
          <w:tcPr>
            <w:tcW w:w="1891" w:type="dxa"/>
            <w:noWrap w:val="0"/>
            <w:vAlign w:val="top"/>
          </w:tcPr>
          <w:p w14:paraId="30754AD5">
            <w:pPr>
              <w:spacing w:line="480" w:lineRule="exact"/>
              <w:rPr>
                <w:rFonts w:ascii="宋体" w:hAnsi="宋体"/>
                <w:bCs/>
                <w:sz w:val="22"/>
                <w:szCs w:val="22"/>
                <w:highlight w:val="none"/>
              </w:rPr>
            </w:pPr>
          </w:p>
        </w:tc>
        <w:tc>
          <w:tcPr>
            <w:tcW w:w="1973" w:type="dxa"/>
            <w:noWrap w:val="0"/>
            <w:vAlign w:val="top"/>
          </w:tcPr>
          <w:p w14:paraId="77703731">
            <w:pPr>
              <w:spacing w:line="480" w:lineRule="exact"/>
              <w:rPr>
                <w:rFonts w:ascii="宋体" w:hAnsi="宋体"/>
                <w:bCs/>
                <w:sz w:val="22"/>
                <w:szCs w:val="22"/>
                <w:highlight w:val="none"/>
              </w:rPr>
            </w:pPr>
          </w:p>
        </w:tc>
        <w:tc>
          <w:tcPr>
            <w:tcW w:w="1252" w:type="dxa"/>
            <w:noWrap w:val="0"/>
            <w:vAlign w:val="top"/>
          </w:tcPr>
          <w:p w14:paraId="1F0E9AF2">
            <w:pPr>
              <w:spacing w:line="480" w:lineRule="exact"/>
              <w:rPr>
                <w:rFonts w:ascii="宋体" w:hAnsi="宋体"/>
                <w:bCs/>
                <w:sz w:val="22"/>
                <w:szCs w:val="22"/>
                <w:highlight w:val="none"/>
              </w:rPr>
            </w:pPr>
          </w:p>
        </w:tc>
      </w:tr>
      <w:tr w14:paraId="040CF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top"/>
          </w:tcPr>
          <w:p w14:paraId="374BD753">
            <w:pPr>
              <w:spacing w:line="480" w:lineRule="exact"/>
              <w:rPr>
                <w:rFonts w:ascii="宋体" w:hAnsi="宋体"/>
                <w:bCs/>
                <w:sz w:val="22"/>
                <w:szCs w:val="22"/>
                <w:highlight w:val="none"/>
              </w:rPr>
            </w:pPr>
          </w:p>
        </w:tc>
        <w:tc>
          <w:tcPr>
            <w:tcW w:w="1282" w:type="dxa"/>
            <w:noWrap w:val="0"/>
            <w:vAlign w:val="top"/>
          </w:tcPr>
          <w:p w14:paraId="3EDD5E55">
            <w:pPr>
              <w:spacing w:line="480" w:lineRule="exact"/>
              <w:rPr>
                <w:rFonts w:ascii="宋体" w:hAnsi="宋体"/>
                <w:bCs/>
                <w:sz w:val="22"/>
                <w:szCs w:val="22"/>
                <w:highlight w:val="none"/>
              </w:rPr>
            </w:pPr>
          </w:p>
        </w:tc>
        <w:tc>
          <w:tcPr>
            <w:tcW w:w="2078" w:type="dxa"/>
            <w:noWrap w:val="0"/>
            <w:vAlign w:val="top"/>
          </w:tcPr>
          <w:p w14:paraId="57AAD0F9">
            <w:pPr>
              <w:spacing w:line="480" w:lineRule="exact"/>
              <w:rPr>
                <w:rFonts w:ascii="宋体" w:hAnsi="宋体"/>
                <w:bCs/>
                <w:sz w:val="22"/>
                <w:szCs w:val="22"/>
                <w:highlight w:val="none"/>
              </w:rPr>
            </w:pPr>
          </w:p>
        </w:tc>
        <w:tc>
          <w:tcPr>
            <w:tcW w:w="1891" w:type="dxa"/>
            <w:noWrap w:val="0"/>
            <w:vAlign w:val="top"/>
          </w:tcPr>
          <w:p w14:paraId="4AB093B4">
            <w:pPr>
              <w:spacing w:line="480" w:lineRule="exact"/>
              <w:rPr>
                <w:rFonts w:ascii="宋体" w:hAnsi="宋体"/>
                <w:bCs/>
                <w:sz w:val="22"/>
                <w:szCs w:val="22"/>
                <w:highlight w:val="none"/>
              </w:rPr>
            </w:pPr>
          </w:p>
        </w:tc>
        <w:tc>
          <w:tcPr>
            <w:tcW w:w="1973" w:type="dxa"/>
            <w:noWrap w:val="0"/>
            <w:vAlign w:val="top"/>
          </w:tcPr>
          <w:p w14:paraId="063C2FDD">
            <w:pPr>
              <w:spacing w:line="480" w:lineRule="exact"/>
              <w:rPr>
                <w:rFonts w:ascii="宋体" w:hAnsi="宋体"/>
                <w:bCs/>
                <w:sz w:val="22"/>
                <w:szCs w:val="22"/>
                <w:highlight w:val="none"/>
              </w:rPr>
            </w:pPr>
          </w:p>
        </w:tc>
        <w:tc>
          <w:tcPr>
            <w:tcW w:w="1252" w:type="dxa"/>
            <w:noWrap w:val="0"/>
            <w:vAlign w:val="top"/>
          </w:tcPr>
          <w:p w14:paraId="72C130D9">
            <w:pPr>
              <w:spacing w:line="480" w:lineRule="exact"/>
              <w:rPr>
                <w:rFonts w:ascii="宋体" w:hAnsi="宋体"/>
                <w:bCs/>
                <w:sz w:val="22"/>
                <w:szCs w:val="22"/>
                <w:highlight w:val="none"/>
              </w:rPr>
            </w:pPr>
          </w:p>
        </w:tc>
      </w:tr>
      <w:tr w14:paraId="36222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top"/>
          </w:tcPr>
          <w:p w14:paraId="1656772B">
            <w:pPr>
              <w:spacing w:line="480" w:lineRule="exact"/>
              <w:rPr>
                <w:rFonts w:ascii="宋体" w:hAnsi="宋体"/>
                <w:bCs/>
                <w:sz w:val="22"/>
                <w:szCs w:val="22"/>
                <w:highlight w:val="none"/>
              </w:rPr>
            </w:pPr>
          </w:p>
        </w:tc>
        <w:tc>
          <w:tcPr>
            <w:tcW w:w="1282" w:type="dxa"/>
            <w:noWrap w:val="0"/>
            <w:vAlign w:val="top"/>
          </w:tcPr>
          <w:p w14:paraId="02DA8F98">
            <w:pPr>
              <w:spacing w:line="480" w:lineRule="exact"/>
              <w:rPr>
                <w:rFonts w:ascii="宋体" w:hAnsi="宋体"/>
                <w:bCs/>
                <w:sz w:val="22"/>
                <w:szCs w:val="22"/>
                <w:highlight w:val="none"/>
              </w:rPr>
            </w:pPr>
          </w:p>
        </w:tc>
        <w:tc>
          <w:tcPr>
            <w:tcW w:w="2078" w:type="dxa"/>
            <w:noWrap w:val="0"/>
            <w:vAlign w:val="top"/>
          </w:tcPr>
          <w:p w14:paraId="658E0D1B">
            <w:pPr>
              <w:spacing w:line="480" w:lineRule="exact"/>
              <w:rPr>
                <w:rFonts w:ascii="宋体" w:hAnsi="宋体"/>
                <w:bCs/>
                <w:sz w:val="22"/>
                <w:szCs w:val="22"/>
                <w:highlight w:val="none"/>
              </w:rPr>
            </w:pPr>
          </w:p>
        </w:tc>
        <w:tc>
          <w:tcPr>
            <w:tcW w:w="1891" w:type="dxa"/>
            <w:noWrap w:val="0"/>
            <w:vAlign w:val="top"/>
          </w:tcPr>
          <w:p w14:paraId="132BD467">
            <w:pPr>
              <w:spacing w:line="480" w:lineRule="exact"/>
              <w:rPr>
                <w:rFonts w:ascii="宋体" w:hAnsi="宋体"/>
                <w:bCs/>
                <w:sz w:val="22"/>
                <w:szCs w:val="22"/>
                <w:highlight w:val="none"/>
              </w:rPr>
            </w:pPr>
          </w:p>
        </w:tc>
        <w:tc>
          <w:tcPr>
            <w:tcW w:w="1973" w:type="dxa"/>
            <w:noWrap w:val="0"/>
            <w:vAlign w:val="top"/>
          </w:tcPr>
          <w:p w14:paraId="1D3F0D6A">
            <w:pPr>
              <w:spacing w:line="480" w:lineRule="exact"/>
              <w:rPr>
                <w:rFonts w:ascii="宋体" w:hAnsi="宋体"/>
                <w:bCs/>
                <w:sz w:val="22"/>
                <w:szCs w:val="22"/>
                <w:highlight w:val="none"/>
              </w:rPr>
            </w:pPr>
          </w:p>
        </w:tc>
        <w:tc>
          <w:tcPr>
            <w:tcW w:w="1252" w:type="dxa"/>
            <w:noWrap w:val="0"/>
            <w:vAlign w:val="top"/>
          </w:tcPr>
          <w:p w14:paraId="765BA117">
            <w:pPr>
              <w:spacing w:line="480" w:lineRule="exact"/>
              <w:rPr>
                <w:rFonts w:ascii="宋体" w:hAnsi="宋体"/>
                <w:bCs/>
                <w:sz w:val="22"/>
                <w:szCs w:val="22"/>
                <w:highlight w:val="none"/>
              </w:rPr>
            </w:pPr>
          </w:p>
        </w:tc>
      </w:tr>
      <w:tr w14:paraId="747B6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top"/>
          </w:tcPr>
          <w:p w14:paraId="53D32492">
            <w:pPr>
              <w:spacing w:line="480" w:lineRule="exact"/>
              <w:rPr>
                <w:rFonts w:ascii="宋体" w:hAnsi="宋体"/>
                <w:bCs/>
                <w:sz w:val="22"/>
                <w:szCs w:val="22"/>
                <w:highlight w:val="none"/>
              </w:rPr>
            </w:pPr>
          </w:p>
        </w:tc>
        <w:tc>
          <w:tcPr>
            <w:tcW w:w="1282" w:type="dxa"/>
            <w:noWrap w:val="0"/>
            <w:vAlign w:val="top"/>
          </w:tcPr>
          <w:p w14:paraId="7CB0C5DA">
            <w:pPr>
              <w:spacing w:line="480" w:lineRule="exact"/>
              <w:rPr>
                <w:rFonts w:ascii="宋体" w:hAnsi="宋体"/>
                <w:bCs/>
                <w:sz w:val="22"/>
                <w:szCs w:val="22"/>
                <w:highlight w:val="none"/>
              </w:rPr>
            </w:pPr>
          </w:p>
        </w:tc>
        <w:tc>
          <w:tcPr>
            <w:tcW w:w="2078" w:type="dxa"/>
            <w:noWrap w:val="0"/>
            <w:vAlign w:val="top"/>
          </w:tcPr>
          <w:p w14:paraId="344953A3">
            <w:pPr>
              <w:spacing w:line="480" w:lineRule="exact"/>
              <w:rPr>
                <w:rFonts w:ascii="宋体" w:hAnsi="宋体"/>
                <w:bCs/>
                <w:sz w:val="22"/>
                <w:szCs w:val="22"/>
                <w:highlight w:val="none"/>
              </w:rPr>
            </w:pPr>
          </w:p>
        </w:tc>
        <w:tc>
          <w:tcPr>
            <w:tcW w:w="1891" w:type="dxa"/>
            <w:noWrap w:val="0"/>
            <w:vAlign w:val="top"/>
          </w:tcPr>
          <w:p w14:paraId="1A9312C0">
            <w:pPr>
              <w:spacing w:line="480" w:lineRule="exact"/>
              <w:rPr>
                <w:rFonts w:ascii="宋体" w:hAnsi="宋体"/>
                <w:bCs/>
                <w:sz w:val="22"/>
                <w:szCs w:val="22"/>
                <w:highlight w:val="none"/>
              </w:rPr>
            </w:pPr>
          </w:p>
        </w:tc>
        <w:tc>
          <w:tcPr>
            <w:tcW w:w="1973" w:type="dxa"/>
            <w:noWrap w:val="0"/>
            <w:vAlign w:val="top"/>
          </w:tcPr>
          <w:p w14:paraId="3557D9D2">
            <w:pPr>
              <w:spacing w:line="480" w:lineRule="exact"/>
              <w:rPr>
                <w:rFonts w:ascii="宋体" w:hAnsi="宋体"/>
                <w:bCs/>
                <w:sz w:val="22"/>
                <w:szCs w:val="22"/>
                <w:highlight w:val="none"/>
              </w:rPr>
            </w:pPr>
          </w:p>
        </w:tc>
        <w:tc>
          <w:tcPr>
            <w:tcW w:w="1252" w:type="dxa"/>
            <w:noWrap w:val="0"/>
            <w:vAlign w:val="top"/>
          </w:tcPr>
          <w:p w14:paraId="4FACBEAA">
            <w:pPr>
              <w:spacing w:line="480" w:lineRule="exact"/>
              <w:rPr>
                <w:rFonts w:ascii="宋体" w:hAnsi="宋体"/>
                <w:bCs/>
                <w:sz w:val="22"/>
                <w:szCs w:val="22"/>
                <w:highlight w:val="none"/>
              </w:rPr>
            </w:pPr>
          </w:p>
        </w:tc>
      </w:tr>
      <w:tr w14:paraId="2093B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top"/>
          </w:tcPr>
          <w:p w14:paraId="0861E281">
            <w:pPr>
              <w:spacing w:line="480" w:lineRule="exact"/>
              <w:rPr>
                <w:rFonts w:ascii="宋体" w:hAnsi="宋体"/>
                <w:bCs/>
                <w:sz w:val="22"/>
                <w:szCs w:val="22"/>
                <w:highlight w:val="none"/>
              </w:rPr>
            </w:pPr>
          </w:p>
        </w:tc>
        <w:tc>
          <w:tcPr>
            <w:tcW w:w="1282" w:type="dxa"/>
            <w:noWrap w:val="0"/>
            <w:vAlign w:val="top"/>
          </w:tcPr>
          <w:p w14:paraId="5F27C35E">
            <w:pPr>
              <w:spacing w:line="480" w:lineRule="exact"/>
              <w:rPr>
                <w:rFonts w:ascii="宋体" w:hAnsi="宋体"/>
                <w:bCs/>
                <w:sz w:val="22"/>
                <w:szCs w:val="22"/>
                <w:highlight w:val="none"/>
              </w:rPr>
            </w:pPr>
          </w:p>
        </w:tc>
        <w:tc>
          <w:tcPr>
            <w:tcW w:w="2078" w:type="dxa"/>
            <w:noWrap w:val="0"/>
            <w:vAlign w:val="top"/>
          </w:tcPr>
          <w:p w14:paraId="7CA2192F">
            <w:pPr>
              <w:spacing w:line="480" w:lineRule="exact"/>
              <w:rPr>
                <w:rFonts w:ascii="宋体" w:hAnsi="宋体"/>
                <w:bCs/>
                <w:sz w:val="22"/>
                <w:szCs w:val="22"/>
                <w:highlight w:val="none"/>
              </w:rPr>
            </w:pPr>
          </w:p>
        </w:tc>
        <w:tc>
          <w:tcPr>
            <w:tcW w:w="1891" w:type="dxa"/>
            <w:noWrap w:val="0"/>
            <w:vAlign w:val="top"/>
          </w:tcPr>
          <w:p w14:paraId="265E3F6D">
            <w:pPr>
              <w:spacing w:line="480" w:lineRule="exact"/>
              <w:rPr>
                <w:rFonts w:ascii="宋体" w:hAnsi="宋体"/>
                <w:bCs/>
                <w:sz w:val="22"/>
                <w:szCs w:val="22"/>
                <w:highlight w:val="none"/>
              </w:rPr>
            </w:pPr>
          </w:p>
        </w:tc>
        <w:tc>
          <w:tcPr>
            <w:tcW w:w="1973" w:type="dxa"/>
            <w:noWrap w:val="0"/>
            <w:vAlign w:val="top"/>
          </w:tcPr>
          <w:p w14:paraId="67EC15B3">
            <w:pPr>
              <w:spacing w:line="480" w:lineRule="exact"/>
              <w:rPr>
                <w:rFonts w:ascii="宋体" w:hAnsi="宋体"/>
                <w:bCs/>
                <w:sz w:val="22"/>
                <w:szCs w:val="22"/>
                <w:highlight w:val="none"/>
              </w:rPr>
            </w:pPr>
          </w:p>
        </w:tc>
        <w:tc>
          <w:tcPr>
            <w:tcW w:w="1252" w:type="dxa"/>
            <w:noWrap w:val="0"/>
            <w:vAlign w:val="top"/>
          </w:tcPr>
          <w:p w14:paraId="68D2092D">
            <w:pPr>
              <w:spacing w:line="480" w:lineRule="exact"/>
              <w:rPr>
                <w:rFonts w:ascii="宋体" w:hAnsi="宋体"/>
                <w:bCs/>
                <w:sz w:val="22"/>
                <w:szCs w:val="22"/>
                <w:highlight w:val="none"/>
              </w:rPr>
            </w:pPr>
          </w:p>
        </w:tc>
      </w:tr>
    </w:tbl>
    <w:p w14:paraId="677C95A2">
      <w:pPr>
        <w:spacing w:line="480" w:lineRule="exact"/>
        <w:rPr>
          <w:rFonts w:hint="eastAsia" w:ascii="宋体" w:hAnsi="宋体" w:eastAsia="宋体"/>
          <w:bCs/>
          <w:sz w:val="24"/>
          <w:szCs w:val="24"/>
          <w:highlight w:val="none"/>
          <w:lang w:eastAsia="zh-CN"/>
        </w:rPr>
      </w:pPr>
      <w:r>
        <w:rPr>
          <w:rFonts w:hint="eastAsia" w:ascii="宋体" w:hAnsi="宋体"/>
          <w:bCs/>
          <w:sz w:val="24"/>
          <w:szCs w:val="24"/>
          <w:highlight w:val="none"/>
        </w:rPr>
        <w:t>（注：磋商响应供应商应根据磋商响应设备的技术参数对照磋商文件要求对比偏离情况</w:t>
      </w:r>
      <w:r>
        <w:rPr>
          <w:rFonts w:hint="eastAsia" w:ascii="宋体" w:hAnsi="宋体"/>
          <w:bCs/>
          <w:sz w:val="24"/>
          <w:szCs w:val="24"/>
          <w:highlight w:val="none"/>
          <w:lang w:eastAsia="zh-CN"/>
        </w:rPr>
        <w:t>，</w:t>
      </w:r>
      <w:r>
        <w:rPr>
          <w:rFonts w:hint="eastAsia" w:ascii="宋体" w:hAnsi="宋体"/>
          <w:bCs/>
          <w:sz w:val="24"/>
          <w:szCs w:val="24"/>
          <w:highlight w:val="none"/>
        </w:rPr>
        <w:t>此表格若不够用，可根据实际自行扩展表格。</w:t>
      </w:r>
      <w:r>
        <w:rPr>
          <w:rFonts w:hint="eastAsia" w:ascii="宋体" w:hAnsi="宋体"/>
          <w:bCs/>
          <w:sz w:val="24"/>
          <w:szCs w:val="24"/>
          <w:highlight w:val="none"/>
          <w:lang w:eastAsia="zh-CN"/>
        </w:rPr>
        <w:t>）</w:t>
      </w:r>
    </w:p>
    <w:p w14:paraId="377A7E09">
      <w:pPr>
        <w:pStyle w:val="38"/>
        <w:rPr>
          <w:highlight w:val="none"/>
        </w:rPr>
      </w:pPr>
    </w:p>
    <w:p w14:paraId="1E4BF72A">
      <w:pPr>
        <w:spacing w:line="480" w:lineRule="exact"/>
        <w:ind w:firstLine="120" w:firstLineChars="50"/>
        <w:rPr>
          <w:rFonts w:ascii="宋体" w:hAnsi="宋体"/>
          <w:bCs/>
          <w:sz w:val="24"/>
          <w:szCs w:val="24"/>
          <w:highlight w:val="none"/>
        </w:rPr>
      </w:pPr>
    </w:p>
    <w:p w14:paraId="2EB93E11">
      <w:pPr>
        <w:spacing w:line="480" w:lineRule="exact"/>
        <w:ind w:firstLine="105" w:firstLineChars="50"/>
        <w:rPr>
          <w:rFonts w:ascii="宋体" w:hAnsi="宋体"/>
          <w:bCs/>
          <w:highlight w:val="none"/>
        </w:rPr>
      </w:pPr>
    </w:p>
    <w:p w14:paraId="044EBD8E">
      <w:pPr>
        <w:spacing w:line="480" w:lineRule="auto"/>
        <w:jc w:val="center"/>
        <w:rPr>
          <w:rFonts w:hint="default" w:ascii="宋体" w:hAnsi="宋体" w:eastAsia="宋体"/>
          <w:sz w:val="24"/>
          <w:highlight w:val="none"/>
          <w:u w:val="single"/>
          <w:lang w:val="en-US" w:eastAsia="zh-CN"/>
        </w:rPr>
      </w:pPr>
      <w:r>
        <w:rPr>
          <w:rFonts w:hint="eastAsia" w:ascii="宋体" w:hAnsi="宋体"/>
          <w:sz w:val="24"/>
          <w:szCs w:val="24"/>
          <w:highlight w:val="none"/>
        </w:rPr>
        <w:t xml:space="preserve">    磋商响应</w:t>
      </w:r>
      <w:r>
        <w:rPr>
          <w:rFonts w:hint="eastAsia" w:ascii="宋体" w:hAnsi="宋体"/>
          <w:sz w:val="24"/>
          <w:highlight w:val="none"/>
        </w:rPr>
        <w:t>供应商</w:t>
      </w:r>
      <w:r>
        <w:rPr>
          <w:rFonts w:ascii="宋体" w:hAnsi="宋体"/>
          <w:sz w:val="24"/>
          <w:highlight w:val="none"/>
        </w:rPr>
        <w:t>(盖</w:t>
      </w:r>
      <w:r>
        <w:rPr>
          <w:rFonts w:hint="eastAsia" w:ascii="宋体" w:hAnsi="宋体"/>
          <w:sz w:val="24"/>
          <w:highlight w:val="none"/>
          <w:lang w:eastAsia="zh-CN"/>
        </w:rPr>
        <w:t>单位公</w:t>
      </w:r>
      <w:r>
        <w:rPr>
          <w:rFonts w:ascii="宋体" w:hAnsi="宋体"/>
          <w:sz w:val="24"/>
          <w:highlight w:val="none"/>
        </w:rPr>
        <w:t>章)：</w:t>
      </w:r>
      <w:r>
        <w:rPr>
          <w:rFonts w:hint="eastAsia" w:ascii="宋体" w:hAnsi="宋体"/>
          <w:sz w:val="24"/>
          <w:highlight w:val="none"/>
          <w:u w:val="single"/>
          <w:lang w:val="en-US" w:eastAsia="zh-CN"/>
        </w:rPr>
        <w:t xml:space="preserve">                      </w:t>
      </w:r>
    </w:p>
    <w:p w14:paraId="3F9E5FE3">
      <w:pPr>
        <w:spacing w:line="480" w:lineRule="auto"/>
        <w:jc w:val="center"/>
        <w:rPr>
          <w:rFonts w:hint="default" w:ascii="宋体" w:hAnsi="宋体" w:eastAsia="宋体"/>
          <w:sz w:val="24"/>
          <w:highlight w:val="none"/>
          <w:u w:val="single"/>
          <w:lang w:val="en-US" w:eastAsia="zh-CN"/>
        </w:rPr>
      </w:pPr>
      <w:r>
        <w:rPr>
          <w:rFonts w:hint="eastAsia" w:ascii="宋体" w:hAnsi="宋体"/>
          <w:sz w:val="24"/>
          <w:highlight w:val="none"/>
        </w:rPr>
        <w:t xml:space="preserve">  </w:t>
      </w:r>
      <w:r>
        <w:rPr>
          <w:rFonts w:ascii="宋体" w:hAnsi="宋体"/>
          <w:sz w:val="24"/>
          <w:highlight w:val="none"/>
        </w:rPr>
        <w:t>法定代表人 (</w:t>
      </w:r>
      <w:r>
        <w:rPr>
          <w:rFonts w:hint="eastAsia" w:ascii="宋体" w:hAnsi="宋体"/>
          <w:sz w:val="24"/>
          <w:highlight w:val="none"/>
          <w:lang w:eastAsia="zh-CN"/>
        </w:rPr>
        <w:t>电子</w:t>
      </w:r>
      <w:r>
        <w:rPr>
          <w:rFonts w:hint="eastAsia" w:ascii="宋体" w:hAnsi="宋体"/>
          <w:sz w:val="24"/>
          <w:highlight w:val="none"/>
        </w:rPr>
        <w:t>签章</w:t>
      </w:r>
      <w:r>
        <w:rPr>
          <w:rFonts w:ascii="宋体" w:hAnsi="宋体"/>
          <w:sz w:val="24"/>
          <w:highlight w:val="none"/>
        </w:rPr>
        <w:t>)：</w:t>
      </w:r>
      <w:r>
        <w:rPr>
          <w:rFonts w:hint="eastAsia" w:ascii="宋体" w:hAnsi="宋体"/>
          <w:sz w:val="24"/>
          <w:highlight w:val="none"/>
          <w:u w:val="single"/>
          <w:lang w:val="en-US" w:eastAsia="zh-CN"/>
        </w:rPr>
        <w:t xml:space="preserve">                          </w:t>
      </w:r>
    </w:p>
    <w:p w14:paraId="6AB3AEEA">
      <w:pPr>
        <w:spacing w:line="480" w:lineRule="auto"/>
        <w:jc w:val="center"/>
        <w:rPr>
          <w:rFonts w:ascii="宋体" w:hAnsi="宋体"/>
          <w:sz w:val="24"/>
          <w:highlight w:val="none"/>
          <w:u w:val="single"/>
        </w:rPr>
      </w:pPr>
      <w:r>
        <w:rPr>
          <w:rFonts w:hint="eastAsia" w:ascii="宋体" w:hAnsi="宋体"/>
          <w:sz w:val="24"/>
          <w:highlight w:val="none"/>
        </w:rPr>
        <w:t xml:space="preserve">  日  期：</w:t>
      </w:r>
      <w:r>
        <w:rPr>
          <w:rFonts w:hint="eastAsia" w:ascii="宋体" w:hAnsi="宋体"/>
          <w:sz w:val="24"/>
          <w:highlight w:val="none"/>
          <w:lang w:val="en-US" w:eastAsia="zh-CN"/>
        </w:rPr>
        <w:t xml:space="preserve">  </w:t>
      </w:r>
      <w:r>
        <w:rPr>
          <w:rFonts w:hint="eastAsia" w:ascii="宋体" w:hAnsi="宋体"/>
          <w:sz w:val="24"/>
          <w:highlight w:val="none"/>
        </w:rPr>
        <w:t xml:space="preserve"> </w:t>
      </w:r>
      <w:r>
        <w:rPr>
          <w:rFonts w:ascii="宋体" w:hAnsi="宋体"/>
          <w:sz w:val="24"/>
          <w:highlight w:val="none"/>
        </w:rPr>
        <w:t>年</w:t>
      </w: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ascii="宋体" w:hAnsi="宋体"/>
          <w:sz w:val="24"/>
          <w:highlight w:val="none"/>
        </w:rPr>
        <w:t>月</w:t>
      </w:r>
      <w:r>
        <w:rPr>
          <w:rFonts w:hint="eastAsia" w:ascii="宋体" w:hAnsi="宋体"/>
          <w:sz w:val="24"/>
          <w:highlight w:val="none"/>
        </w:rPr>
        <w:t xml:space="preserve">   日</w:t>
      </w:r>
    </w:p>
    <w:p w14:paraId="28D39676">
      <w:pPr>
        <w:pStyle w:val="3"/>
        <w:keepNext w:val="0"/>
        <w:keepLines w:val="0"/>
        <w:ind w:left="0" w:firstLine="0"/>
        <w:jc w:val="center"/>
        <w:rPr>
          <w:rFonts w:hint="eastAsia" w:ascii="宋体" w:hAnsi="宋体" w:eastAsia="宋体" w:cs="宋体"/>
          <w:b/>
          <w:bCs/>
          <w:sz w:val="32"/>
          <w:szCs w:val="32"/>
          <w:highlight w:val="none"/>
          <w:shd w:val="clear" w:color="auto" w:fill="FFFFFF"/>
        </w:rPr>
      </w:pPr>
    </w:p>
    <w:p w14:paraId="6C45F8C2">
      <w:pPr>
        <w:widowControl/>
        <w:numPr>
          <w:ilvl w:val="0"/>
          <w:numId w:val="0"/>
        </w:numPr>
        <w:shd w:val="clear" w:color="auto" w:fill="FFFFFF"/>
        <w:spacing w:line="240" w:lineRule="auto"/>
        <w:jc w:val="center"/>
        <w:outlineLvl w:val="0"/>
        <w:rPr>
          <w:rFonts w:hint="eastAsia" w:ascii="宋体" w:hAnsi="宋体" w:eastAsia="宋体" w:cs="宋体"/>
          <w:b/>
          <w:bCs/>
          <w:color w:val="FF0000"/>
          <w:kern w:val="2"/>
          <w:sz w:val="24"/>
          <w:szCs w:val="24"/>
          <w:highlight w:val="none"/>
          <w:shd w:val="clear" w:color="auto" w:fill="FFFFFF"/>
          <w:lang w:val="en-US" w:eastAsia="zh-CN" w:bidi="ar-SA"/>
        </w:rPr>
      </w:pPr>
    </w:p>
    <w:p w14:paraId="444F34C8">
      <w:pPr>
        <w:widowControl/>
        <w:numPr>
          <w:ilvl w:val="0"/>
          <w:numId w:val="0"/>
        </w:numPr>
        <w:shd w:val="clear" w:color="auto" w:fill="FFFFFF"/>
        <w:spacing w:line="240" w:lineRule="auto"/>
        <w:jc w:val="center"/>
        <w:outlineLvl w:val="0"/>
        <w:rPr>
          <w:rFonts w:hint="eastAsia" w:ascii="宋体" w:hAnsi="宋体" w:eastAsia="宋体" w:cs="宋体"/>
          <w:b/>
          <w:bCs/>
          <w:color w:val="FF0000"/>
          <w:kern w:val="2"/>
          <w:sz w:val="24"/>
          <w:szCs w:val="24"/>
          <w:highlight w:val="none"/>
          <w:shd w:val="clear" w:color="auto" w:fill="FFFFFF"/>
          <w:lang w:val="en-US" w:eastAsia="zh-CN" w:bidi="ar-SA"/>
        </w:rPr>
      </w:pPr>
    </w:p>
    <w:p w14:paraId="71E843AD">
      <w:pPr>
        <w:spacing w:line="360" w:lineRule="auto"/>
        <w:jc w:val="center"/>
        <w:outlineLvl w:val="0"/>
        <w:rPr>
          <w:rFonts w:hint="eastAsia" w:ascii="宋体" w:hAnsi="宋体" w:cs="宋体"/>
          <w:sz w:val="24"/>
          <w:szCs w:val="24"/>
          <w:highlight w:val="none"/>
        </w:rPr>
      </w:pPr>
      <w:bookmarkStart w:id="1285" w:name="_Toc23544"/>
      <w:bookmarkStart w:id="1286" w:name="_Toc22332"/>
      <w:r>
        <w:rPr>
          <w:rFonts w:hint="eastAsia" w:ascii="宋体" w:hAnsi="宋体" w:cs="宋体"/>
          <w:b/>
          <w:bCs/>
          <w:sz w:val="32"/>
          <w:szCs w:val="32"/>
          <w:highlight w:val="none"/>
        </w:rPr>
        <w:t>二、法定代表人身份证明书</w:t>
      </w:r>
      <w:bookmarkEnd w:id="1265"/>
      <w:bookmarkEnd w:id="1266"/>
      <w:bookmarkEnd w:id="1267"/>
      <w:bookmarkEnd w:id="1285"/>
      <w:bookmarkEnd w:id="1286"/>
    </w:p>
    <w:p w14:paraId="6CEBC69A">
      <w:pPr>
        <w:spacing w:line="440" w:lineRule="exact"/>
        <w:rPr>
          <w:rFonts w:hint="eastAsia" w:ascii="宋体" w:hAnsi="宋体" w:cs="宋体"/>
          <w:b/>
          <w:bCs/>
          <w:highlight w:val="none"/>
        </w:rPr>
      </w:pPr>
    </w:p>
    <w:p w14:paraId="43986D01">
      <w:pPr>
        <w:spacing w:line="480" w:lineRule="auto"/>
        <w:ind w:firstLine="612"/>
        <w:rPr>
          <w:rFonts w:hint="eastAsia" w:ascii="宋体" w:hAnsi="宋体" w:cs="宋体"/>
          <w:sz w:val="24"/>
          <w:szCs w:val="24"/>
          <w:highlight w:val="none"/>
        </w:rPr>
      </w:pPr>
      <w:r>
        <w:rPr>
          <w:rFonts w:hint="eastAsia" w:ascii="宋体" w:hAnsi="宋体" w:cs="宋体"/>
          <w:sz w:val="24"/>
          <w:szCs w:val="24"/>
          <w:highlight w:val="none"/>
        </w:rPr>
        <w:t>单位名称：</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p>
    <w:p w14:paraId="3BFA408C">
      <w:pPr>
        <w:spacing w:line="480" w:lineRule="auto"/>
        <w:ind w:firstLine="610"/>
        <w:rPr>
          <w:rFonts w:hint="eastAsia" w:ascii="宋体" w:hAnsi="宋体" w:cs="宋体"/>
          <w:sz w:val="24"/>
          <w:szCs w:val="24"/>
          <w:highlight w:val="none"/>
          <w:u w:val="single"/>
        </w:rPr>
      </w:pPr>
      <w:r>
        <w:rPr>
          <w:rFonts w:hint="eastAsia" w:ascii="宋体" w:hAnsi="宋体" w:cs="宋体"/>
          <w:sz w:val="24"/>
          <w:szCs w:val="24"/>
          <w:highlight w:val="none"/>
        </w:rPr>
        <w:t>单位性质：</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p>
    <w:p w14:paraId="6A2ECFB0">
      <w:pPr>
        <w:spacing w:line="480" w:lineRule="auto"/>
        <w:ind w:firstLine="610"/>
        <w:rPr>
          <w:rFonts w:hint="eastAsia" w:ascii="宋体" w:hAnsi="宋体" w:cs="宋体"/>
          <w:sz w:val="24"/>
          <w:szCs w:val="24"/>
          <w:highlight w:val="none"/>
          <w:u w:val="single"/>
        </w:rPr>
      </w:pPr>
      <w:r>
        <w:rPr>
          <w:rFonts w:hint="eastAsia" w:ascii="宋体" w:hAnsi="宋体" w:cs="宋体"/>
          <w:sz w:val="24"/>
          <w:szCs w:val="24"/>
          <w:highlight w:val="none"/>
        </w:rPr>
        <w:t>地址：</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p>
    <w:p w14:paraId="5C4F0A5A">
      <w:pPr>
        <w:spacing w:line="480" w:lineRule="auto"/>
        <w:ind w:firstLine="610"/>
        <w:rPr>
          <w:rFonts w:hint="eastAsia" w:ascii="宋体" w:hAnsi="宋体" w:cs="宋体"/>
          <w:sz w:val="24"/>
          <w:szCs w:val="24"/>
          <w:highlight w:val="none"/>
          <w:u w:val="none"/>
        </w:rPr>
      </w:pPr>
      <w:r>
        <w:rPr>
          <w:rFonts w:hint="eastAsia" w:ascii="宋体" w:hAnsi="宋体" w:cs="宋体"/>
          <w:sz w:val="24"/>
          <w:szCs w:val="24"/>
          <w:highlight w:val="none"/>
        </w:rPr>
        <w:t>成立时间：</w:t>
      </w:r>
      <w:r>
        <w:rPr>
          <w:rFonts w:hint="eastAsia" w:ascii="宋体" w:hAnsi="宋体" w:cs="宋体"/>
          <w:sz w:val="24"/>
          <w:szCs w:val="24"/>
          <w:highlight w:val="none"/>
          <w:u w:val="single"/>
        </w:rPr>
        <w:t xml:space="preserve">     </w:t>
      </w:r>
      <w:r>
        <w:rPr>
          <w:rFonts w:hint="eastAsia" w:ascii="宋体" w:hAnsi="宋体" w:cs="宋体"/>
          <w:sz w:val="24"/>
          <w:szCs w:val="24"/>
          <w:highlight w:val="none"/>
          <w:u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u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u w:val="none"/>
        </w:rPr>
        <w:t>日</w:t>
      </w:r>
    </w:p>
    <w:p w14:paraId="7F7A23FC">
      <w:pPr>
        <w:spacing w:line="480" w:lineRule="auto"/>
        <w:ind w:firstLine="610"/>
        <w:rPr>
          <w:rFonts w:hint="eastAsia" w:ascii="宋体" w:hAnsi="宋体" w:cs="宋体"/>
          <w:sz w:val="24"/>
          <w:szCs w:val="24"/>
          <w:highlight w:val="none"/>
          <w:u w:val="single"/>
        </w:rPr>
      </w:pPr>
      <w:r>
        <w:rPr>
          <w:rFonts w:hint="eastAsia" w:ascii="宋体" w:hAnsi="宋体" w:cs="宋体"/>
          <w:sz w:val="24"/>
          <w:szCs w:val="24"/>
          <w:highlight w:val="none"/>
        </w:rPr>
        <w:t>经营期限：</w:t>
      </w:r>
      <w:r>
        <w:rPr>
          <w:rFonts w:hint="eastAsia" w:ascii="宋体" w:hAnsi="宋体" w:cs="宋体"/>
          <w:sz w:val="24"/>
          <w:szCs w:val="24"/>
          <w:highlight w:val="none"/>
          <w:u w:val="single"/>
        </w:rPr>
        <w:tab/>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p>
    <w:p w14:paraId="1ACF71D7">
      <w:pPr>
        <w:spacing w:line="480" w:lineRule="auto"/>
        <w:ind w:firstLine="610"/>
        <w:rPr>
          <w:rFonts w:hint="eastAsia" w:ascii="宋体" w:hAnsi="宋体" w:cs="宋体"/>
          <w:sz w:val="24"/>
          <w:szCs w:val="24"/>
          <w:highlight w:val="none"/>
          <w:u w:val="single"/>
        </w:rPr>
      </w:pPr>
      <w:r>
        <w:rPr>
          <w:rFonts w:hint="eastAsia" w:ascii="宋体" w:hAnsi="宋体" w:cs="宋体"/>
          <w:sz w:val="24"/>
          <w:szCs w:val="24"/>
          <w:highlight w:val="none"/>
        </w:rPr>
        <w:t>姓名：</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rPr>
        <w:t>性别：</w:t>
      </w:r>
      <w:r>
        <w:rPr>
          <w:rFonts w:hint="eastAsia" w:ascii="宋体" w:hAnsi="宋体" w:cs="宋体"/>
          <w:sz w:val="24"/>
          <w:szCs w:val="24"/>
          <w:highlight w:val="none"/>
          <w:u w:val="single"/>
        </w:rPr>
        <w:tab/>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rPr>
        <w:t>年龄：</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rPr>
        <w:t>职务：</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p>
    <w:p w14:paraId="2E188E26">
      <w:pPr>
        <w:spacing w:line="480" w:lineRule="auto"/>
        <w:ind w:firstLine="610"/>
        <w:rPr>
          <w:rFonts w:hint="eastAsia" w:ascii="宋体" w:hAnsi="宋体" w:cs="宋体"/>
          <w:sz w:val="24"/>
          <w:szCs w:val="24"/>
          <w:highlight w:val="none"/>
        </w:rPr>
      </w:pPr>
      <w:r>
        <w:rPr>
          <w:rFonts w:hint="eastAsia" w:ascii="宋体" w:hAnsi="宋体" w:cs="宋体"/>
          <w:sz w:val="24"/>
          <w:szCs w:val="24"/>
          <w:highlight w:val="none"/>
        </w:rPr>
        <w:t>系</w:t>
      </w:r>
      <w:r>
        <w:rPr>
          <w:rFonts w:hint="eastAsia" w:ascii="宋体" w:hAnsi="宋体" w:cs="宋体"/>
          <w:sz w:val="24"/>
          <w:szCs w:val="24"/>
          <w:highlight w:val="none"/>
          <w:u w:val="single"/>
        </w:rPr>
        <w:t>（供应商单位名称）</w:t>
      </w:r>
      <w:r>
        <w:rPr>
          <w:rFonts w:hint="eastAsia" w:ascii="宋体" w:hAnsi="宋体" w:cs="宋体"/>
          <w:sz w:val="24"/>
          <w:szCs w:val="24"/>
          <w:highlight w:val="none"/>
        </w:rPr>
        <w:t>的法定代表人。</w:t>
      </w:r>
    </w:p>
    <w:p w14:paraId="21F63298">
      <w:pPr>
        <w:spacing w:line="480" w:lineRule="auto"/>
        <w:ind w:firstLine="610"/>
        <w:rPr>
          <w:rFonts w:hint="eastAsia" w:ascii="宋体" w:hAnsi="宋体" w:cs="宋体"/>
          <w:sz w:val="24"/>
          <w:szCs w:val="24"/>
          <w:highlight w:val="none"/>
        </w:rPr>
      </w:pPr>
    </w:p>
    <w:p w14:paraId="0815BF4E">
      <w:pPr>
        <w:spacing w:line="480" w:lineRule="auto"/>
        <w:ind w:firstLine="1089" w:firstLineChars="454"/>
        <w:rPr>
          <w:rFonts w:hint="eastAsia" w:ascii="宋体" w:hAnsi="宋体" w:cs="宋体"/>
          <w:sz w:val="24"/>
          <w:szCs w:val="24"/>
          <w:highlight w:val="none"/>
        </w:rPr>
      </w:pPr>
      <w:r>
        <w:rPr>
          <w:rFonts w:hint="eastAsia" w:ascii="宋体" w:hAnsi="宋体" w:cs="宋体"/>
          <w:sz w:val="24"/>
          <w:szCs w:val="24"/>
          <w:highlight w:val="none"/>
        </w:rPr>
        <w:t>特此证明。</w:t>
      </w:r>
    </w:p>
    <w:p w14:paraId="2F3059ED">
      <w:pPr>
        <w:spacing w:line="480" w:lineRule="auto"/>
        <w:ind w:right="480" w:firstLine="241" w:firstLineChars="100"/>
        <w:rPr>
          <w:rFonts w:hint="eastAsia" w:ascii="宋体" w:hAnsi="宋体" w:cs="宋体"/>
          <w:b/>
          <w:bCs/>
          <w:sz w:val="24"/>
          <w:szCs w:val="24"/>
          <w:highlight w:val="none"/>
        </w:rPr>
      </w:pPr>
      <w:r>
        <w:rPr>
          <w:rFonts w:hint="eastAsia" w:ascii="宋体" w:hAnsi="宋体" w:cs="宋体"/>
          <w:b/>
          <w:bCs/>
          <w:sz w:val="24"/>
          <w:szCs w:val="24"/>
          <w:highlight w:val="none"/>
        </w:rPr>
        <w:t>（附法定代表人身份证正反面扫描件）</w:t>
      </w:r>
    </w:p>
    <w:p w14:paraId="0AC25E77">
      <w:pPr>
        <w:spacing w:line="480" w:lineRule="auto"/>
        <w:rPr>
          <w:rFonts w:hint="eastAsia" w:ascii="宋体" w:hAnsi="宋体" w:cs="宋体"/>
          <w:sz w:val="24"/>
          <w:szCs w:val="24"/>
          <w:highlight w:val="none"/>
        </w:rPr>
      </w:pPr>
    </w:p>
    <w:p w14:paraId="17439AAE">
      <w:pPr>
        <w:spacing w:line="480" w:lineRule="auto"/>
        <w:ind w:firstLine="5040" w:firstLineChars="2100"/>
        <w:rPr>
          <w:rFonts w:hint="eastAsia" w:ascii="宋体" w:hAnsi="宋体" w:cs="宋体"/>
          <w:sz w:val="24"/>
          <w:szCs w:val="24"/>
          <w:highlight w:val="none"/>
        </w:rPr>
      </w:pPr>
    </w:p>
    <w:p w14:paraId="17CD5B0F">
      <w:pPr>
        <w:spacing w:line="480" w:lineRule="auto"/>
        <w:ind w:firstLine="5040" w:firstLineChars="2100"/>
        <w:jc w:val="right"/>
        <w:rPr>
          <w:rFonts w:hint="eastAsia" w:ascii="宋体" w:hAnsi="宋体" w:cs="宋体"/>
          <w:sz w:val="24"/>
          <w:szCs w:val="24"/>
          <w:highlight w:val="none"/>
        </w:rPr>
      </w:pPr>
    </w:p>
    <w:p w14:paraId="5D18615E">
      <w:pPr>
        <w:spacing w:line="440" w:lineRule="exact"/>
        <w:jc w:val="right"/>
        <w:rPr>
          <w:rFonts w:hint="eastAsia" w:ascii="宋体" w:hAnsi="宋体" w:cs="宋体"/>
          <w:bCs/>
          <w:sz w:val="24"/>
          <w:highlight w:val="none"/>
        </w:rPr>
      </w:pPr>
      <w:r>
        <w:rPr>
          <w:rFonts w:hint="eastAsia" w:ascii="宋体" w:hAnsi="宋体" w:cs="宋体"/>
          <w:sz w:val="24"/>
          <w:szCs w:val="24"/>
          <w:highlight w:val="none"/>
        </w:rPr>
        <w:t>磋商响应供应商</w:t>
      </w:r>
      <w:r>
        <w:rPr>
          <w:rFonts w:hint="eastAsia" w:ascii="宋体" w:hAnsi="宋体" w:cs="宋体"/>
          <w:bCs/>
          <w:sz w:val="24"/>
          <w:highlight w:val="none"/>
        </w:rPr>
        <w:t>：</w:t>
      </w:r>
      <w:r>
        <w:rPr>
          <w:rFonts w:hint="eastAsia" w:ascii="宋体" w:hAnsi="宋体" w:cs="宋体"/>
          <w:bCs/>
          <w:sz w:val="24"/>
          <w:highlight w:val="none"/>
          <w:u w:val="single"/>
        </w:rPr>
        <w:t xml:space="preserve">                </w:t>
      </w:r>
      <w:r>
        <w:rPr>
          <w:rFonts w:hint="eastAsia" w:ascii="宋体" w:hAnsi="宋体" w:cs="宋体"/>
          <w:bCs/>
          <w:sz w:val="24"/>
          <w:highlight w:val="none"/>
        </w:rPr>
        <w:t>（盖单位公章）</w:t>
      </w:r>
    </w:p>
    <w:p w14:paraId="5A0C4E65">
      <w:pPr>
        <w:spacing w:line="360" w:lineRule="auto"/>
        <w:ind w:firstLine="3967" w:firstLineChars="1653"/>
        <w:jc w:val="right"/>
        <w:rPr>
          <w:rFonts w:hint="eastAsia" w:ascii="宋体" w:hAnsi="宋体" w:cs="宋体"/>
          <w:sz w:val="24"/>
          <w:szCs w:val="24"/>
          <w:highlight w:val="none"/>
        </w:rPr>
      </w:pPr>
    </w:p>
    <w:p w14:paraId="0996342F">
      <w:pPr>
        <w:spacing w:line="360" w:lineRule="auto"/>
        <w:ind w:firstLine="3967" w:firstLineChars="1653"/>
        <w:jc w:val="right"/>
        <w:rPr>
          <w:rFonts w:hint="eastAsia" w:ascii="宋体" w:hAnsi="宋体" w:cs="宋体"/>
          <w:sz w:val="24"/>
          <w:szCs w:val="24"/>
          <w:highlight w:val="none"/>
        </w:rPr>
      </w:pPr>
      <w:r>
        <w:rPr>
          <w:rFonts w:hint="eastAsia" w:ascii="宋体" w:hAnsi="宋体" w:cs="宋体"/>
          <w:sz w:val="24"/>
          <w:szCs w:val="24"/>
          <w:highlight w:val="none"/>
        </w:rPr>
        <w:t>日期： 年  月  日</w:t>
      </w:r>
    </w:p>
    <w:p w14:paraId="4F6BC999">
      <w:pPr>
        <w:spacing w:line="480" w:lineRule="auto"/>
        <w:ind w:right="480"/>
        <w:jc w:val="center"/>
        <w:rPr>
          <w:rFonts w:hint="eastAsia" w:ascii="宋体" w:hAnsi="宋体" w:cs="宋体"/>
          <w:b/>
          <w:bCs/>
          <w:sz w:val="24"/>
          <w:szCs w:val="24"/>
          <w:highlight w:val="none"/>
        </w:rPr>
      </w:pPr>
    </w:p>
    <w:p w14:paraId="5AA4C6D7">
      <w:pPr>
        <w:pStyle w:val="65"/>
        <w:rPr>
          <w:rFonts w:hint="eastAsia" w:ascii="宋体" w:hAnsi="宋体"/>
          <w:highlight w:val="none"/>
        </w:rPr>
      </w:pPr>
      <w:bookmarkStart w:id="1287" w:name="_Toc223432391"/>
      <w:bookmarkEnd w:id="1287"/>
      <w:bookmarkStart w:id="1288" w:name="_Toc169921411"/>
      <w:bookmarkEnd w:id="1288"/>
      <w:bookmarkStart w:id="1289" w:name="_Toc171073046"/>
      <w:bookmarkEnd w:id="1289"/>
      <w:bookmarkStart w:id="1290" w:name="_Toc171073211"/>
      <w:bookmarkEnd w:id="1290"/>
    </w:p>
    <w:p w14:paraId="74FFFFC3">
      <w:pPr>
        <w:pStyle w:val="65"/>
        <w:rPr>
          <w:rFonts w:hint="eastAsia" w:ascii="宋体" w:hAnsi="宋体"/>
          <w:highlight w:val="none"/>
        </w:rPr>
      </w:pPr>
    </w:p>
    <w:p w14:paraId="6B7FF7DE">
      <w:pPr>
        <w:pStyle w:val="65"/>
        <w:ind w:firstLine="0"/>
        <w:rPr>
          <w:rFonts w:hint="eastAsia" w:ascii="宋体" w:hAnsi="宋体"/>
          <w:b/>
          <w:bCs/>
          <w:sz w:val="32"/>
          <w:szCs w:val="32"/>
          <w:highlight w:val="none"/>
        </w:rPr>
      </w:pPr>
    </w:p>
    <w:p w14:paraId="3E45DCD7">
      <w:pPr>
        <w:pStyle w:val="65"/>
        <w:ind w:firstLine="0"/>
        <w:rPr>
          <w:rFonts w:hint="eastAsia" w:ascii="宋体" w:hAnsi="宋体"/>
          <w:b/>
          <w:bCs/>
          <w:sz w:val="32"/>
          <w:szCs w:val="32"/>
          <w:highlight w:val="none"/>
        </w:rPr>
      </w:pPr>
    </w:p>
    <w:p w14:paraId="0A348961">
      <w:pPr>
        <w:jc w:val="center"/>
        <w:outlineLvl w:val="0"/>
        <w:rPr>
          <w:rFonts w:hint="eastAsia" w:ascii="宋体" w:hAnsi="宋体" w:cs="宋体"/>
          <w:b/>
          <w:bCs/>
          <w:sz w:val="28"/>
          <w:highlight w:val="none"/>
        </w:rPr>
      </w:pPr>
      <w:bookmarkStart w:id="1291" w:name="_Toc21657"/>
      <w:bookmarkStart w:id="1292" w:name="_Toc29932"/>
      <w:bookmarkStart w:id="1293" w:name="_Toc21712"/>
      <w:bookmarkStart w:id="1294" w:name="_Toc1987"/>
      <w:bookmarkStart w:id="1295" w:name="_Toc23090"/>
      <w:r>
        <w:rPr>
          <w:rFonts w:hint="eastAsia" w:ascii="宋体" w:hAnsi="宋体" w:cs="宋体"/>
          <w:b/>
          <w:bCs/>
          <w:sz w:val="28"/>
          <w:highlight w:val="none"/>
        </w:rPr>
        <w:t>三、授权委托书</w:t>
      </w:r>
      <w:bookmarkEnd w:id="1291"/>
      <w:bookmarkEnd w:id="1292"/>
      <w:bookmarkEnd w:id="1293"/>
      <w:bookmarkEnd w:id="1294"/>
      <w:bookmarkEnd w:id="1295"/>
    </w:p>
    <w:p w14:paraId="34977B90">
      <w:pPr>
        <w:pStyle w:val="38"/>
        <w:rPr>
          <w:rFonts w:hint="eastAsia" w:hAnsi="宋体" w:cs="宋体"/>
          <w:highlight w:val="none"/>
        </w:rPr>
      </w:pPr>
    </w:p>
    <w:p w14:paraId="5B7F9619">
      <w:pPr>
        <w:spacing w:line="500" w:lineRule="exact"/>
        <w:ind w:left="141" w:leftChars="67" w:firstLine="523" w:firstLineChars="218"/>
        <w:rPr>
          <w:rFonts w:hint="eastAsia" w:ascii="宋体" w:hAnsi="宋体" w:cs="宋体"/>
          <w:bCs/>
          <w:sz w:val="24"/>
          <w:highlight w:val="none"/>
        </w:rPr>
      </w:pPr>
      <w:r>
        <w:rPr>
          <w:rFonts w:hint="eastAsia" w:ascii="宋体" w:hAnsi="宋体" w:cs="宋体"/>
          <w:bCs/>
          <w:sz w:val="24"/>
          <w:highlight w:val="none"/>
        </w:rPr>
        <w:t>本人</w:t>
      </w:r>
      <w:r>
        <w:rPr>
          <w:rFonts w:hint="eastAsia" w:ascii="宋体" w:hAnsi="宋体" w:cs="宋体"/>
          <w:bCs/>
          <w:sz w:val="24"/>
          <w:highlight w:val="none"/>
          <w:u w:val="single"/>
        </w:rPr>
        <w:t xml:space="preserve">         </w:t>
      </w:r>
      <w:r>
        <w:rPr>
          <w:rFonts w:hint="eastAsia" w:ascii="宋体" w:hAnsi="宋体" w:cs="宋体"/>
          <w:bCs/>
          <w:sz w:val="24"/>
          <w:highlight w:val="none"/>
        </w:rPr>
        <w:t>（姓名）系</w:t>
      </w:r>
      <w:r>
        <w:rPr>
          <w:rFonts w:hint="eastAsia" w:ascii="宋体" w:hAnsi="宋体" w:cs="宋体"/>
          <w:bCs/>
          <w:sz w:val="24"/>
          <w:highlight w:val="none"/>
          <w:u w:val="single"/>
        </w:rPr>
        <w:t xml:space="preserve">                </w:t>
      </w:r>
      <w:r>
        <w:rPr>
          <w:rFonts w:hint="eastAsia" w:ascii="宋体" w:hAnsi="宋体" w:cs="宋体"/>
          <w:bCs/>
          <w:sz w:val="24"/>
          <w:highlight w:val="none"/>
        </w:rPr>
        <w:t>（供应商名称）的法定代表人，现委托</w:t>
      </w:r>
      <w:r>
        <w:rPr>
          <w:rFonts w:hint="eastAsia" w:ascii="宋体" w:hAnsi="宋体" w:cs="宋体"/>
          <w:bCs/>
          <w:sz w:val="24"/>
          <w:highlight w:val="none"/>
          <w:u w:val="single"/>
        </w:rPr>
        <w:t xml:space="preserve">         </w:t>
      </w:r>
      <w:r>
        <w:rPr>
          <w:rFonts w:hint="eastAsia" w:ascii="宋体" w:hAnsi="宋体" w:cs="宋体"/>
          <w:bCs/>
          <w:sz w:val="24"/>
          <w:highlight w:val="none"/>
        </w:rPr>
        <w:t>（姓名）为我方代理人。代理人根据授权，以我方名义签署、澄清、说明、补正、递交、撤回、修改</w:t>
      </w:r>
      <w:r>
        <w:rPr>
          <w:rFonts w:hint="eastAsia" w:ascii="宋体" w:hAnsi="宋体" w:cs="宋体"/>
          <w:bCs/>
          <w:sz w:val="24"/>
          <w:highlight w:val="none"/>
          <w:u w:val="single"/>
        </w:rPr>
        <w:t xml:space="preserve">                  </w:t>
      </w:r>
      <w:r>
        <w:rPr>
          <w:rFonts w:hint="eastAsia" w:ascii="宋体" w:hAnsi="宋体" w:cs="宋体"/>
          <w:sz w:val="24"/>
          <w:highlight w:val="none"/>
        </w:rPr>
        <w:t>（项目名称</w:t>
      </w:r>
      <w:r>
        <w:rPr>
          <w:rFonts w:hint="eastAsia" w:ascii="宋体" w:hAnsi="宋体" w:cs="宋体"/>
          <w:sz w:val="24"/>
          <w:highlight w:val="none"/>
          <w:lang w:eastAsia="zh-CN"/>
        </w:rPr>
        <w:t>、</w:t>
      </w:r>
      <w:r>
        <w:rPr>
          <w:rFonts w:hint="eastAsia" w:ascii="宋体" w:hAnsi="宋体" w:cs="宋体"/>
          <w:sz w:val="24"/>
          <w:highlight w:val="none"/>
          <w:lang w:val="en-US" w:eastAsia="zh-CN"/>
        </w:rPr>
        <w:t>标段</w:t>
      </w:r>
      <w:r>
        <w:rPr>
          <w:rFonts w:hint="eastAsia" w:ascii="宋体" w:hAnsi="宋体" w:cs="宋体"/>
          <w:sz w:val="24"/>
          <w:highlight w:val="none"/>
        </w:rPr>
        <w:t>）</w:t>
      </w:r>
      <w:r>
        <w:rPr>
          <w:rFonts w:hint="eastAsia" w:ascii="宋体" w:hAnsi="宋体" w:cs="宋体"/>
          <w:bCs/>
          <w:sz w:val="24"/>
          <w:highlight w:val="none"/>
        </w:rPr>
        <w:t>响应文件、签订合同和处理有关事宜，其法律后果由我方承担。</w:t>
      </w:r>
    </w:p>
    <w:p w14:paraId="26A6BD36">
      <w:pPr>
        <w:spacing w:line="500" w:lineRule="exact"/>
        <w:ind w:left="567"/>
        <w:rPr>
          <w:rFonts w:hint="eastAsia" w:ascii="宋体" w:hAnsi="宋体" w:cs="宋体"/>
          <w:bCs/>
          <w:sz w:val="24"/>
          <w:highlight w:val="none"/>
        </w:rPr>
      </w:pPr>
      <w:r>
        <w:rPr>
          <w:rFonts w:hint="eastAsia" w:ascii="宋体" w:hAnsi="宋体" w:cs="宋体"/>
          <w:bCs/>
          <w:sz w:val="24"/>
          <w:highlight w:val="none"/>
        </w:rPr>
        <w:t>委托期限：</w:t>
      </w:r>
      <w:r>
        <w:rPr>
          <w:rFonts w:hint="eastAsia" w:ascii="宋体" w:hAnsi="宋体" w:cs="宋体"/>
          <w:bCs/>
          <w:sz w:val="24"/>
          <w:highlight w:val="none"/>
          <w:u w:val="single"/>
        </w:rPr>
        <w:t xml:space="preserve">                  </w:t>
      </w:r>
      <w:r>
        <w:rPr>
          <w:rFonts w:hint="eastAsia" w:ascii="宋体" w:hAnsi="宋体" w:cs="宋体"/>
          <w:bCs/>
          <w:sz w:val="24"/>
          <w:highlight w:val="none"/>
        </w:rPr>
        <w:t>。</w:t>
      </w:r>
    </w:p>
    <w:p w14:paraId="1C018AAE">
      <w:pPr>
        <w:spacing w:line="500" w:lineRule="exact"/>
        <w:ind w:left="567"/>
        <w:rPr>
          <w:rFonts w:hint="eastAsia" w:ascii="宋体" w:hAnsi="宋体" w:cs="宋体"/>
          <w:bCs/>
          <w:sz w:val="24"/>
          <w:highlight w:val="none"/>
        </w:rPr>
      </w:pPr>
      <w:r>
        <w:rPr>
          <w:rFonts w:hint="eastAsia" w:ascii="宋体" w:hAnsi="宋体" w:cs="宋体"/>
          <w:bCs/>
          <w:sz w:val="24"/>
          <w:highlight w:val="none"/>
        </w:rPr>
        <w:t xml:space="preserve">代理人无转委托权。 </w:t>
      </w:r>
    </w:p>
    <w:p w14:paraId="310D5FC4">
      <w:pPr>
        <w:spacing w:line="500" w:lineRule="exact"/>
        <w:ind w:firstLine="648" w:firstLineChars="270"/>
        <w:rPr>
          <w:rFonts w:hint="eastAsia" w:ascii="宋体" w:hAnsi="宋体" w:cs="宋体"/>
          <w:bCs/>
          <w:sz w:val="24"/>
          <w:highlight w:val="none"/>
        </w:rPr>
      </w:pPr>
    </w:p>
    <w:p w14:paraId="282C02DE">
      <w:pPr>
        <w:spacing w:line="500" w:lineRule="exact"/>
        <w:ind w:left="567"/>
        <w:rPr>
          <w:rFonts w:hint="eastAsia" w:ascii="宋体" w:hAnsi="宋体" w:cs="宋体"/>
          <w:bCs/>
          <w:sz w:val="24"/>
          <w:highlight w:val="none"/>
        </w:rPr>
      </w:pPr>
      <w:r>
        <w:rPr>
          <w:rFonts w:hint="eastAsia" w:ascii="宋体" w:hAnsi="宋体" w:cs="宋体"/>
          <w:bCs/>
          <w:sz w:val="24"/>
          <w:highlight w:val="none"/>
        </w:rPr>
        <w:t>附：委托代理人身份证复印件</w:t>
      </w:r>
    </w:p>
    <w:p w14:paraId="622DA279">
      <w:pPr>
        <w:spacing w:line="360" w:lineRule="auto"/>
        <w:ind w:firstLine="482" w:firstLineChars="200"/>
        <w:rPr>
          <w:rFonts w:hint="eastAsia" w:ascii="宋体" w:hAnsi="宋体" w:cs="宋体"/>
          <w:b/>
          <w:bCs/>
          <w:sz w:val="24"/>
          <w:highlight w:val="none"/>
        </w:rPr>
      </w:pPr>
    </w:p>
    <w:p w14:paraId="03C571A6">
      <w:pPr>
        <w:spacing w:line="440" w:lineRule="exact"/>
        <w:ind w:left="840"/>
        <w:rPr>
          <w:rFonts w:hint="eastAsia" w:ascii="宋体" w:hAnsi="宋体" w:cs="宋体"/>
          <w:bCs/>
          <w:sz w:val="24"/>
          <w:highlight w:val="none"/>
        </w:rPr>
      </w:pPr>
    </w:p>
    <w:p w14:paraId="298E4F64">
      <w:pPr>
        <w:spacing w:line="440" w:lineRule="exact"/>
        <w:ind w:left="840"/>
        <w:rPr>
          <w:rFonts w:hint="eastAsia" w:ascii="宋体" w:hAnsi="宋体" w:cs="宋体"/>
          <w:bCs/>
          <w:sz w:val="24"/>
          <w:highlight w:val="none"/>
        </w:rPr>
      </w:pPr>
    </w:p>
    <w:p w14:paraId="348F06DA">
      <w:pPr>
        <w:spacing w:line="440" w:lineRule="exact"/>
        <w:jc w:val="center"/>
        <w:rPr>
          <w:rFonts w:hint="eastAsia" w:ascii="宋体" w:hAnsi="宋体" w:cs="宋体"/>
          <w:bCs/>
          <w:sz w:val="24"/>
          <w:highlight w:val="none"/>
        </w:rPr>
      </w:pPr>
      <w:r>
        <w:rPr>
          <w:rFonts w:hint="eastAsia" w:ascii="宋体" w:hAnsi="宋体" w:cs="宋体"/>
          <w:bCs/>
          <w:sz w:val="24"/>
          <w:highlight w:val="none"/>
        </w:rPr>
        <w:t xml:space="preserve">                          </w:t>
      </w:r>
      <w:r>
        <w:rPr>
          <w:rFonts w:hint="eastAsia" w:ascii="宋体" w:hAnsi="宋体" w:cs="宋体"/>
          <w:sz w:val="24"/>
          <w:szCs w:val="24"/>
          <w:highlight w:val="none"/>
        </w:rPr>
        <w:t>磋商响应供应商</w:t>
      </w:r>
      <w:r>
        <w:rPr>
          <w:rFonts w:hint="eastAsia" w:ascii="宋体" w:hAnsi="宋体" w:cs="宋体"/>
          <w:bCs/>
          <w:sz w:val="24"/>
          <w:highlight w:val="none"/>
        </w:rPr>
        <w:t>：</w:t>
      </w:r>
      <w:r>
        <w:rPr>
          <w:rFonts w:hint="eastAsia" w:ascii="宋体" w:hAnsi="宋体" w:cs="宋体"/>
          <w:bCs/>
          <w:sz w:val="24"/>
          <w:highlight w:val="none"/>
          <w:u w:val="single"/>
        </w:rPr>
        <w:t xml:space="preserve">                </w:t>
      </w:r>
      <w:r>
        <w:rPr>
          <w:rFonts w:hint="eastAsia" w:ascii="宋体" w:hAnsi="宋体" w:cs="宋体"/>
          <w:bCs/>
          <w:sz w:val="24"/>
          <w:highlight w:val="none"/>
        </w:rPr>
        <w:t>（盖单位公章）</w:t>
      </w:r>
    </w:p>
    <w:p w14:paraId="5B2A81EB">
      <w:pPr>
        <w:spacing w:line="440" w:lineRule="exact"/>
        <w:ind w:left="3570"/>
        <w:jc w:val="right"/>
        <w:rPr>
          <w:rFonts w:hint="eastAsia" w:ascii="宋体" w:hAnsi="宋体" w:cs="宋体"/>
          <w:bCs/>
          <w:sz w:val="24"/>
          <w:highlight w:val="none"/>
        </w:rPr>
      </w:pPr>
      <w:r>
        <w:rPr>
          <w:rFonts w:hint="eastAsia" w:ascii="宋体" w:hAnsi="宋体" w:cs="宋体"/>
          <w:bCs/>
          <w:sz w:val="24"/>
          <w:highlight w:val="none"/>
        </w:rPr>
        <w:t xml:space="preserve"> </w:t>
      </w:r>
    </w:p>
    <w:p w14:paraId="1AA6E639">
      <w:pPr>
        <w:spacing w:line="440" w:lineRule="exact"/>
        <w:jc w:val="center"/>
        <w:rPr>
          <w:rFonts w:hint="eastAsia" w:ascii="宋体" w:hAnsi="宋体" w:cs="宋体"/>
          <w:bCs/>
          <w:sz w:val="24"/>
          <w:highlight w:val="none"/>
        </w:rPr>
      </w:pPr>
      <w:r>
        <w:rPr>
          <w:rFonts w:hint="eastAsia" w:ascii="宋体" w:hAnsi="宋体" w:cs="宋体"/>
          <w:bCs/>
          <w:sz w:val="24"/>
          <w:highlight w:val="none"/>
        </w:rPr>
        <w:t xml:space="preserve">                       法定代表人：</w:t>
      </w:r>
      <w:r>
        <w:rPr>
          <w:rFonts w:hint="eastAsia" w:ascii="宋体" w:hAnsi="宋体" w:cs="宋体"/>
          <w:bCs/>
          <w:sz w:val="24"/>
          <w:highlight w:val="none"/>
          <w:u w:val="single"/>
        </w:rPr>
        <w:t xml:space="preserve">        </w:t>
      </w:r>
      <w:r>
        <w:rPr>
          <w:rFonts w:hint="eastAsia" w:ascii="宋体" w:hAnsi="宋体" w:cs="宋体"/>
          <w:bCs/>
          <w:sz w:val="24"/>
          <w:highlight w:val="none"/>
          <w:u w:val="single"/>
          <w:lang w:val="en-US" w:eastAsia="zh-CN"/>
        </w:rPr>
        <w:t xml:space="preserve">        </w:t>
      </w:r>
      <w:r>
        <w:rPr>
          <w:rFonts w:hint="eastAsia" w:ascii="宋体" w:hAnsi="宋体" w:cs="宋体"/>
          <w:bCs/>
          <w:sz w:val="24"/>
          <w:highlight w:val="none"/>
          <w:u w:val="single"/>
        </w:rPr>
        <w:t xml:space="preserve">      </w:t>
      </w:r>
      <w:r>
        <w:rPr>
          <w:rFonts w:hint="eastAsia" w:ascii="宋体" w:hAnsi="宋体" w:cs="宋体"/>
          <w:bCs/>
          <w:sz w:val="24"/>
          <w:highlight w:val="none"/>
        </w:rPr>
        <w:t>（</w:t>
      </w:r>
      <w:r>
        <w:rPr>
          <w:rFonts w:hint="eastAsia" w:ascii="宋体" w:hAnsi="宋体" w:cs="宋体"/>
          <w:bCs/>
          <w:sz w:val="24"/>
          <w:highlight w:val="none"/>
          <w:lang w:eastAsia="zh-CN"/>
        </w:rPr>
        <w:t>电子签章</w:t>
      </w:r>
      <w:r>
        <w:rPr>
          <w:rFonts w:hint="eastAsia" w:ascii="宋体" w:hAnsi="宋体" w:cs="宋体"/>
          <w:bCs/>
          <w:sz w:val="24"/>
          <w:highlight w:val="none"/>
        </w:rPr>
        <w:t xml:space="preserve">） </w:t>
      </w:r>
    </w:p>
    <w:p w14:paraId="38093E60">
      <w:pPr>
        <w:spacing w:line="440" w:lineRule="exact"/>
        <w:ind w:left="3570"/>
        <w:jc w:val="right"/>
        <w:rPr>
          <w:rFonts w:hint="eastAsia" w:ascii="宋体" w:hAnsi="宋体" w:cs="宋体"/>
          <w:bCs/>
          <w:sz w:val="24"/>
          <w:highlight w:val="none"/>
        </w:rPr>
      </w:pPr>
      <w:r>
        <w:rPr>
          <w:rFonts w:hint="eastAsia" w:ascii="宋体" w:hAnsi="宋体" w:cs="宋体"/>
          <w:bCs/>
          <w:sz w:val="24"/>
          <w:highlight w:val="none"/>
        </w:rPr>
        <w:t xml:space="preserve"> </w:t>
      </w:r>
    </w:p>
    <w:p w14:paraId="416C4604">
      <w:pPr>
        <w:spacing w:line="440" w:lineRule="exact"/>
        <w:ind w:firstLine="3360" w:firstLineChars="1400"/>
        <w:jc w:val="both"/>
        <w:rPr>
          <w:rFonts w:hint="eastAsia" w:ascii="宋体" w:hAnsi="宋体" w:cs="宋体"/>
          <w:bCs/>
          <w:sz w:val="24"/>
          <w:highlight w:val="none"/>
        </w:rPr>
      </w:pPr>
      <w:r>
        <w:rPr>
          <w:rFonts w:hint="eastAsia" w:ascii="宋体" w:hAnsi="宋体" w:cs="宋体"/>
          <w:bCs/>
          <w:sz w:val="24"/>
          <w:highlight w:val="none"/>
        </w:rPr>
        <w:t>身份证号码：</w:t>
      </w:r>
      <w:r>
        <w:rPr>
          <w:rFonts w:hint="eastAsia" w:ascii="宋体" w:hAnsi="宋体" w:cs="宋体"/>
          <w:bCs/>
          <w:sz w:val="24"/>
          <w:highlight w:val="none"/>
          <w:u w:val="single"/>
        </w:rPr>
        <w:t xml:space="preserve">                        </w:t>
      </w:r>
    </w:p>
    <w:p w14:paraId="729D1346">
      <w:pPr>
        <w:spacing w:line="440" w:lineRule="exact"/>
        <w:ind w:left="3570"/>
        <w:jc w:val="center"/>
        <w:rPr>
          <w:rFonts w:hint="eastAsia" w:ascii="宋体" w:hAnsi="宋体" w:cs="宋体"/>
          <w:bCs/>
          <w:sz w:val="24"/>
          <w:highlight w:val="none"/>
        </w:rPr>
      </w:pPr>
      <w:r>
        <w:rPr>
          <w:rFonts w:hint="eastAsia" w:ascii="宋体" w:hAnsi="宋体" w:cs="宋体"/>
          <w:bCs/>
          <w:sz w:val="24"/>
          <w:highlight w:val="none"/>
        </w:rPr>
        <w:t xml:space="preserve"> </w:t>
      </w:r>
    </w:p>
    <w:p w14:paraId="70BD7A8C">
      <w:pPr>
        <w:spacing w:line="440" w:lineRule="exact"/>
        <w:jc w:val="center"/>
        <w:rPr>
          <w:rFonts w:hint="eastAsia" w:ascii="宋体" w:hAnsi="宋体" w:cs="宋体"/>
          <w:bCs/>
          <w:sz w:val="24"/>
          <w:highlight w:val="none"/>
        </w:rPr>
      </w:pPr>
      <w:r>
        <w:rPr>
          <w:rFonts w:hint="eastAsia" w:ascii="宋体" w:hAnsi="宋体" w:cs="宋体"/>
          <w:bCs/>
          <w:sz w:val="24"/>
          <w:highlight w:val="none"/>
        </w:rPr>
        <w:t xml:space="preserve">                     委托代理人：</w:t>
      </w:r>
      <w:r>
        <w:rPr>
          <w:rFonts w:hint="eastAsia" w:ascii="宋体" w:hAnsi="宋体" w:cs="宋体"/>
          <w:bCs/>
          <w:sz w:val="24"/>
          <w:highlight w:val="none"/>
          <w:u w:val="single"/>
        </w:rPr>
        <w:t xml:space="preserve">               </w:t>
      </w:r>
      <w:r>
        <w:rPr>
          <w:rFonts w:hint="eastAsia" w:ascii="宋体" w:hAnsi="宋体" w:cs="宋体"/>
          <w:bCs/>
          <w:sz w:val="24"/>
          <w:highlight w:val="none"/>
        </w:rPr>
        <w:t>（</w:t>
      </w:r>
      <w:r>
        <w:rPr>
          <w:rFonts w:hint="eastAsia" w:ascii="宋体" w:hAnsi="宋体" w:eastAsia="宋体" w:cs="宋体"/>
          <w:color w:val="auto"/>
          <w:sz w:val="24"/>
          <w:highlight w:val="none"/>
        </w:rPr>
        <w:t>签字或法定代表人签章</w:t>
      </w:r>
      <w:r>
        <w:rPr>
          <w:rFonts w:hint="eastAsia" w:ascii="宋体" w:hAnsi="宋体" w:cs="宋体"/>
          <w:bCs/>
          <w:sz w:val="24"/>
          <w:highlight w:val="none"/>
        </w:rPr>
        <w:t>）</w:t>
      </w:r>
    </w:p>
    <w:p w14:paraId="111665A0">
      <w:pPr>
        <w:spacing w:line="440" w:lineRule="exact"/>
        <w:ind w:left="3570"/>
        <w:jc w:val="right"/>
        <w:rPr>
          <w:rFonts w:hint="eastAsia" w:ascii="宋体" w:hAnsi="宋体" w:cs="宋体"/>
          <w:bCs/>
          <w:sz w:val="24"/>
          <w:highlight w:val="none"/>
        </w:rPr>
      </w:pPr>
      <w:r>
        <w:rPr>
          <w:rFonts w:hint="eastAsia" w:ascii="宋体" w:hAnsi="宋体" w:cs="宋体"/>
          <w:bCs/>
          <w:sz w:val="24"/>
          <w:highlight w:val="none"/>
        </w:rPr>
        <w:t xml:space="preserve"> </w:t>
      </w:r>
    </w:p>
    <w:p w14:paraId="7EC5158B">
      <w:pPr>
        <w:tabs>
          <w:tab w:val="left" w:pos="6510"/>
        </w:tabs>
        <w:spacing w:line="440" w:lineRule="exact"/>
        <w:ind w:firstLine="3360" w:firstLineChars="1400"/>
        <w:jc w:val="both"/>
        <w:rPr>
          <w:rFonts w:hint="eastAsia" w:ascii="宋体" w:hAnsi="宋体" w:cs="宋体"/>
          <w:bCs/>
          <w:sz w:val="24"/>
          <w:highlight w:val="none"/>
        </w:rPr>
      </w:pPr>
      <w:r>
        <w:rPr>
          <w:rFonts w:hint="eastAsia" w:ascii="宋体" w:hAnsi="宋体" w:cs="宋体"/>
          <w:bCs/>
          <w:sz w:val="24"/>
          <w:highlight w:val="none"/>
        </w:rPr>
        <w:t>身份证号码：</w:t>
      </w:r>
      <w:r>
        <w:rPr>
          <w:rFonts w:hint="eastAsia" w:ascii="宋体" w:hAnsi="宋体" w:cs="宋体"/>
          <w:bCs/>
          <w:sz w:val="24"/>
          <w:highlight w:val="none"/>
          <w:u w:val="single"/>
        </w:rPr>
        <w:t xml:space="preserve">                         </w:t>
      </w:r>
      <w:r>
        <w:rPr>
          <w:rFonts w:hint="eastAsia" w:ascii="宋体" w:hAnsi="宋体" w:cs="宋体"/>
          <w:bCs/>
          <w:sz w:val="24"/>
          <w:highlight w:val="none"/>
        </w:rPr>
        <w:t xml:space="preserve"> </w:t>
      </w:r>
    </w:p>
    <w:p w14:paraId="7DA7673C">
      <w:pPr>
        <w:pStyle w:val="38"/>
        <w:rPr>
          <w:rFonts w:hint="eastAsia" w:hAnsi="宋体" w:cs="宋体"/>
          <w:highlight w:val="none"/>
        </w:rPr>
      </w:pPr>
    </w:p>
    <w:p w14:paraId="6D0F20CB">
      <w:pPr>
        <w:tabs>
          <w:tab w:val="left" w:pos="6510"/>
        </w:tabs>
        <w:spacing w:line="440" w:lineRule="exact"/>
        <w:jc w:val="center"/>
        <w:rPr>
          <w:rFonts w:hint="eastAsia" w:ascii="宋体" w:hAnsi="宋体" w:cs="宋体"/>
          <w:sz w:val="24"/>
          <w:highlight w:val="none"/>
        </w:rPr>
      </w:pPr>
      <w:r>
        <w:rPr>
          <w:rFonts w:hint="eastAsia" w:ascii="宋体" w:hAnsi="宋体" w:cs="宋体"/>
          <w:bCs/>
          <w:sz w:val="24"/>
          <w:highlight w:val="none"/>
        </w:rPr>
        <w:t xml:space="preserve">                               </w:t>
      </w:r>
      <w:r>
        <w:rPr>
          <w:rFonts w:hint="eastAsia" w:ascii="宋体" w:hAnsi="宋体" w:cs="宋体"/>
          <w:bCs/>
          <w:sz w:val="24"/>
          <w:highlight w:val="none"/>
          <w:u w:val="single"/>
        </w:rPr>
        <w:t xml:space="preserve">      </w:t>
      </w:r>
      <w:r>
        <w:rPr>
          <w:rFonts w:hint="eastAsia" w:ascii="宋体" w:hAnsi="宋体" w:cs="宋体"/>
          <w:bCs/>
          <w:sz w:val="24"/>
          <w:highlight w:val="none"/>
        </w:rPr>
        <w:t>年</w:t>
      </w:r>
      <w:r>
        <w:rPr>
          <w:rFonts w:hint="eastAsia" w:ascii="宋体" w:hAnsi="宋体" w:cs="宋体"/>
          <w:bCs/>
          <w:sz w:val="24"/>
          <w:highlight w:val="none"/>
          <w:u w:val="single"/>
        </w:rPr>
        <w:t xml:space="preserve">      </w:t>
      </w:r>
      <w:r>
        <w:rPr>
          <w:rFonts w:hint="eastAsia" w:ascii="宋体" w:hAnsi="宋体" w:cs="宋体"/>
          <w:bCs/>
          <w:sz w:val="24"/>
          <w:highlight w:val="none"/>
        </w:rPr>
        <w:t>月</w:t>
      </w:r>
      <w:r>
        <w:rPr>
          <w:rFonts w:hint="eastAsia" w:ascii="宋体" w:hAnsi="宋体" w:cs="宋体"/>
          <w:bCs/>
          <w:sz w:val="24"/>
          <w:highlight w:val="none"/>
          <w:u w:val="single"/>
        </w:rPr>
        <w:t xml:space="preserve">      </w:t>
      </w:r>
      <w:r>
        <w:rPr>
          <w:rFonts w:hint="eastAsia" w:ascii="宋体" w:hAnsi="宋体" w:cs="宋体"/>
          <w:bCs/>
          <w:sz w:val="24"/>
          <w:highlight w:val="none"/>
        </w:rPr>
        <w:t>日</w:t>
      </w:r>
    </w:p>
    <w:p w14:paraId="56AED59F">
      <w:pPr>
        <w:rPr>
          <w:rFonts w:hint="eastAsia" w:ascii="宋体" w:hAnsi="宋体" w:cs="宋体"/>
          <w:sz w:val="24"/>
          <w:szCs w:val="24"/>
          <w:highlight w:val="none"/>
        </w:rPr>
      </w:pPr>
    </w:p>
    <w:p w14:paraId="5B8099DF">
      <w:pPr>
        <w:widowControl/>
        <w:adjustRightInd w:val="0"/>
        <w:spacing w:line="360" w:lineRule="auto"/>
        <w:ind w:firstLine="482" w:firstLineChars="200"/>
        <w:jc w:val="left"/>
        <w:rPr>
          <w:rFonts w:hint="eastAsia" w:ascii="宋体" w:hAnsi="宋体" w:eastAsia="宋体" w:cs="宋体"/>
          <w:b/>
          <w:bCs/>
          <w:color w:val="auto"/>
          <w:kern w:val="0"/>
          <w:sz w:val="24"/>
          <w:highlight w:val="none"/>
        </w:rPr>
      </w:pPr>
      <w:bookmarkStart w:id="1296" w:name="_Toc631"/>
      <w:bookmarkStart w:id="1297" w:name="_Toc30865"/>
      <w:bookmarkStart w:id="1298" w:name="_Toc16336_WPSOffice_Level1"/>
      <w:bookmarkStart w:id="1299" w:name="_Toc25426"/>
      <w:bookmarkStart w:id="1300" w:name="_Toc19217"/>
      <w:bookmarkStart w:id="1301" w:name="_Toc28238"/>
      <w:bookmarkStart w:id="1302" w:name="_Toc24807"/>
      <w:bookmarkStart w:id="1303" w:name="_Toc6508"/>
      <w:bookmarkStart w:id="1304" w:name="_Toc22454"/>
      <w:bookmarkStart w:id="1305" w:name="_Toc6984"/>
      <w:bookmarkStart w:id="1306" w:name="_Toc10839"/>
      <w:r>
        <w:rPr>
          <w:rFonts w:hint="eastAsia" w:ascii="宋体" w:hAnsi="宋体" w:eastAsia="宋体" w:cs="宋体"/>
          <w:b/>
          <w:bCs/>
          <w:color w:val="auto"/>
          <w:kern w:val="0"/>
          <w:sz w:val="24"/>
          <w:highlight w:val="none"/>
        </w:rPr>
        <w:t>注：1、因投标</w:t>
      </w:r>
      <w:r>
        <w:rPr>
          <w:rFonts w:hint="eastAsia" w:ascii="宋体" w:hAnsi="宋体" w:eastAsia="宋体" w:cs="宋体"/>
          <w:b/>
          <w:bCs/>
          <w:color w:val="auto"/>
          <w:kern w:val="0"/>
          <w:sz w:val="24"/>
          <w:highlight w:val="none"/>
          <w:lang w:eastAsia="zh-CN"/>
        </w:rPr>
        <w:t>（响应）</w:t>
      </w:r>
      <w:r>
        <w:rPr>
          <w:rFonts w:hint="eastAsia" w:ascii="宋体" w:hAnsi="宋体" w:eastAsia="宋体" w:cs="宋体"/>
          <w:b/>
          <w:bCs/>
          <w:color w:val="auto"/>
          <w:kern w:val="0"/>
          <w:sz w:val="24"/>
          <w:highlight w:val="none"/>
        </w:rPr>
        <w:t>文件中授权委托书授权代理人无法手写签字，可以以印刷体代替（印刷体为电脑打出的字体）或者法定代表人电子签章代替。</w:t>
      </w:r>
    </w:p>
    <w:p w14:paraId="7491B883">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    2、如为法定代表人参与投标，无委托代理人的，投标</w:t>
      </w:r>
      <w:r>
        <w:rPr>
          <w:rFonts w:hint="eastAsia" w:ascii="宋体" w:hAnsi="宋体" w:eastAsia="宋体" w:cs="宋体"/>
          <w:b/>
          <w:bCs/>
          <w:color w:val="auto"/>
          <w:sz w:val="24"/>
          <w:highlight w:val="none"/>
          <w:lang w:eastAsia="zh-CN"/>
        </w:rPr>
        <w:t>（响应）</w:t>
      </w:r>
      <w:r>
        <w:rPr>
          <w:rFonts w:hint="eastAsia" w:ascii="宋体" w:hAnsi="宋体" w:eastAsia="宋体" w:cs="宋体"/>
          <w:b/>
          <w:bCs/>
          <w:color w:val="auto"/>
          <w:sz w:val="24"/>
          <w:highlight w:val="none"/>
        </w:rPr>
        <w:t>文件中可以删除此授权委托书。</w:t>
      </w:r>
    </w:p>
    <w:p w14:paraId="2B0C6FA6">
      <w:pPr>
        <w:jc w:val="center"/>
        <w:outlineLvl w:val="0"/>
        <w:rPr>
          <w:rFonts w:hint="eastAsia" w:ascii="宋体" w:hAnsi="宋体" w:eastAsia="宋体" w:cs="宋体"/>
          <w:b/>
          <w:bCs/>
          <w:sz w:val="28"/>
          <w:highlight w:val="none"/>
        </w:rPr>
      </w:pPr>
      <w:bookmarkStart w:id="1307" w:name="_Toc9713"/>
      <w:bookmarkStart w:id="1308" w:name="_Toc27465"/>
      <w:r>
        <w:rPr>
          <w:rFonts w:hint="eastAsia" w:ascii="宋体" w:hAnsi="宋体" w:eastAsia="宋体" w:cs="宋体"/>
          <w:b/>
          <w:bCs/>
          <w:sz w:val="28"/>
          <w:highlight w:val="none"/>
        </w:rPr>
        <w:t>四、磋商承诺函</w:t>
      </w:r>
      <w:bookmarkEnd w:id="1296"/>
      <w:bookmarkEnd w:id="1297"/>
      <w:bookmarkEnd w:id="1298"/>
      <w:bookmarkEnd w:id="1299"/>
      <w:bookmarkEnd w:id="1300"/>
      <w:bookmarkEnd w:id="1301"/>
      <w:bookmarkEnd w:id="1302"/>
      <w:bookmarkEnd w:id="1303"/>
      <w:bookmarkEnd w:id="1307"/>
      <w:bookmarkEnd w:id="1308"/>
    </w:p>
    <w:p w14:paraId="700A774D">
      <w:pPr>
        <w:shd w:val="clear" w:color="auto" w:fill="auto"/>
        <w:rPr>
          <w:rFonts w:hint="eastAsia" w:ascii="宋体" w:hAnsi="宋体" w:cs="宋体"/>
          <w:color w:val="auto"/>
          <w:highlight w:val="none"/>
        </w:rPr>
      </w:pPr>
    </w:p>
    <w:p w14:paraId="348F800E">
      <w:pPr>
        <w:shd w:val="clear" w:color="auto" w:fill="auto"/>
        <w:rPr>
          <w:rFonts w:hint="eastAsia" w:ascii="宋体" w:hAnsi="宋体" w:cs="宋体"/>
          <w:color w:val="auto"/>
          <w:highlight w:val="none"/>
        </w:rPr>
      </w:pPr>
    </w:p>
    <w:p w14:paraId="24BBADB2">
      <w:pPr>
        <w:shd w:val="clear" w:color="auto" w:fill="auto"/>
        <w:rPr>
          <w:b/>
          <w:color w:val="auto"/>
          <w:highlight w:val="none"/>
        </w:rPr>
      </w:pPr>
      <w:r>
        <w:rPr>
          <w:rFonts w:hint="eastAsia" w:ascii="宋体" w:hAnsi="宋体" w:cs="宋体"/>
          <w:b/>
          <w:color w:val="auto"/>
          <w:sz w:val="24"/>
          <w:szCs w:val="24"/>
          <w:highlight w:val="none"/>
          <w:lang w:bidi="ar"/>
        </w:rPr>
        <w:t xml:space="preserve">附件一： </w:t>
      </w:r>
    </w:p>
    <w:p w14:paraId="75C7B6CC">
      <w:pPr>
        <w:shd w:val="clear" w:color="auto" w:fill="auto"/>
        <w:spacing w:line="500" w:lineRule="exact"/>
        <w:rPr>
          <w:rFonts w:hint="eastAsia" w:ascii="宋体" w:hAnsi="宋体" w:cs="宋体"/>
          <w:b/>
          <w:color w:val="auto"/>
          <w:sz w:val="24"/>
          <w:highlight w:val="none"/>
        </w:rPr>
      </w:pPr>
      <w:r>
        <w:rPr>
          <w:rFonts w:hint="eastAsia" w:ascii="宋体" w:hAnsi="宋体" w:cs="宋体"/>
          <w:b/>
          <w:color w:val="auto"/>
          <w:sz w:val="24"/>
          <w:highlight w:val="none"/>
        </w:rPr>
        <w:t>致：</w:t>
      </w:r>
      <w:r>
        <w:rPr>
          <w:rFonts w:hint="eastAsia" w:ascii="宋体" w:hAnsi="宋体" w:cs="宋体"/>
          <w:b/>
          <w:color w:val="auto"/>
          <w:sz w:val="24"/>
          <w:highlight w:val="none"/>
          <w:u w:val="single"/>
        </w:rPr>
        <w:t xml:space="preserve"> （采购人及采购代理机构） </w:t>
      </w:r>
    </w:p>
    <w:p w14:paraId="6F9DA0F5">
      <w:pPr>
        <w:shd w:val="clear" w:color="auto" w:fill="auto"/>
        <w:spacing w:line="500" w:lineRule="exact"/>
        <w:ind w:firstLine="960" w:firstLineChars="400"/>
        <w:rPr>
          <w:rFonts w:hint="eastAsia" w:ascii="宋体" w:hAnsi="宋体" w:cs="宋体"/>
          <w:bCs/>
          <w:color w:val="auto"/>
          <w:sz w:val="24"/>
          <w:highlight w:val="none"/>
        </w:rPr>
      </w:pPr>
      <w:r>
        <w:rPr>
          <w:rFonts w:hint="eastAsia" w:ascii="宋体" w:hAnsi="宋体" w:cs="宋体"/>
          <w:bCs/>
          <w:color w:val="auto"/>
          <w:sz w:val="24"/>
          <w:highlight w:val="none"/>
        </w:rPr>
        <w:t>我公司作为本次采购项目的供应商，根据竞争性磋商文件要求，现郑重承诺如下：</w:t>
      </w:r>
    </w:p>
    <w:p w14:paraId="555947E5">
      <w:pPr>
        <w:shd w:val="clear" w:color="auto" w:fill="auto"/>
        <w:spacing w:line="500" w:lineRule="exact"/>
        <w:ind w:left="567"/>
        <w:rPr>
          <w:rFonts w:hint="eastAsia" w:ascii="宋体" w:hAnsi="宋体" w:cs="宋体"/>
          <w:bCs/>
          <w:color w:val="auto"/>
          <w:sz w:val="24"/>
          <w:highlight w:val="none"/>
        </w:rPr>
      </w:pPr>
      <w:r>
        <w:rPr>
          <w:rFonts w:hint="eastAsia" w:ascii="宋体" w:hAnsi="宋体" w:cs="宋体"/>
          <w:bCs/>
          <w:color w:val="auto"/>
          <w:sz w:val="24"/>
          <w:highlight w:val="none"/>
        </w:rPr>
        <w:t>一、具备《中华人民共和国政府采购法》第二十二条第一款和本项目规定的条件：</w:t>
      </w:r>
    </w:p>
    <w:p w14:paraId="4235ACEB">
      <w:pPr>
        <w:shd w:val="clear" w:color="auto" w:fill="auto"/>
        <w:spacing w:line="500" w:lineRule="exact"/>
        <w:ind w:left="567" w:firstLine="240" w:firstLineChars="100"/>
        <w:rPr>
          <w:rFonts w:hint="eastAsia" w:ascii="宋体" w:hAnsi="宋体" w:cs="宋体"/>
          <w:bCs/>
          <w:color w:val="auto"/>
          <w:sz w:val="24"/>
          <w:highlight w:val="none"/>
        </w:rPr>
      </w:pPr>
      <w:r>
        <w:rPr>
          <w:rFonts w:hint="eastAsia" w:ascii="宋体" w:hAnsi="宋体" w:cs="宋体"/>
          <w:bCs/>
          <w:color w:val="auto"/>
          <w:sz w:val="24"/>
          <w:highlight w:val="none"/>
        </w:rPr>
        <w:t xml:space="preserve">（一）具有独立承担民事责任的能力； </w:t>
      </w:r>
    </w:p>
    <w:p w14:paraId="6D65FDB8">
      <w:pPr>
        <w:shd w:val="clear" w:color="auto" w:fill="auto"/>
        <w:spacing w:line="500" w:lineRule="exact"/>
        <w:ind w:left="567" w:firstLine="240" w:firstLineChars="100"/>
        <w:rPr>
          <w:rFonts w:hint="eastAsia" w:ascii="宋体" w:hAnsi="宋体" w:cs="宋体"/>
          <w:bCs/>
          <w:color w:val="auto"/>
          <w:sz w:val="24"/>
          <w:highlight w:val="none"/>
        </w:rPr>
      </w:pPr>
      <w:r>
        <w:rPr>
          <w:rFonts w:hint="eastAsia" w:ascii="宋体" w:hAnsi="宋体" w:cs="宋体"/>
          <w:bCs/>
          <w:color w:val="auto"/>
          <w:sz w:val="24"/>
          <w:highlight w:val="none"/>
        </w:rPr>
        <w:t xml:space="preserve">（二）具有良好的商业信誉和健全的财务会计制度； </w:t>
      </w:r>
    </w:p>
    <w:p w14:paraId="312E0298">
      <w:pPr>
        <w:shd w:val="clear" w:color="auto" w:fill="auto"/>
        <w:spacing w:line="500" w:lineRule="exact"/>
        <w:ind w:left="567" w:firstLine="240" w:firstLineChars="100"/>
        <w:rPr>
          <w:rFonts w:hint="eastAsia" w:ascii="宋体" w:hAnsi="宋体" w:cs="宋体"/>
          <w:bCs/>
          <w:color w:val="auto"/>
          <w:sz w:val="24"/>
          <w:highlight w:val="none"/>
        </w:rPr>
      </w:pPr>
      <w:r>
        <w:rPr>
          <w:rFonts w:hint="eastAsia" w:ascii="宋体" w:hAnsi="宋体" w:cs="宋体"/>
          <w:bCs/>
          <w:color w:val="auto"/>
          <w:sz w:val="24"/>
          <w:highlight w:val="none"/>
        </w:rPr>
        <w:t xml:space="preserve">（三）具有履行合同所必需的设备和专业技术能力； </w:t>
      </w:r>
    </w:p>
    <w:p w14:paraId="382D9F22">
      <w:pPr>
        <w:shd w:val="clear" w:color="auto" w:fill="auto"/>
        <w:spacing w:line="500" w:lineRule="exact"/>
        <w:ind w:left="567" w:firstLine="240" w:firstLineChars="100"/>
        <w:rPr>
          <w:rFonts w:hint="eastAsia" w:ascii="宋体" w:hAnsi="宋体" w:cs="宋体"/>
          <w:bCs/>
          <w:color w:val="auto"/>
          <w:sz w:val="24"/>
          <w:highlight w:val="none"/>
        </w:rPr>
      </w:pPr>
      <w:r>
        <w:rPr>
          <w:rFonts w:hint="eastAsia" w:ascii="宋体" w:hAnsi="宋体" w:cs="宋体"/>
          <w:bCs/>
          <w:color w:val="auto"/>
          <w:sz w:val="24"/>
          <w:highlight w:val="none"/>
        </w:rPr>
        <w:t xml:space="preserve">（四）有依法缴纳税收和社会保障资金的良好记录； </w:t>
      </w:r>
    </w:p>
    <w:p w14:paraId="4F19669E">
      <w:pPr>
        <w:shd w:val="clear" w:color="auto" w:fill="auto"/>
        <w:spacing w:line="500" w:lineRule="exact"/>
        <w:ind w:left="567" w:firstLine="240" w:firstLineChars="100"/>
        <w:rPr>
          <w:rFonts w:hint="eastAsia" w:ascii="宋体" w:hAnsi="宋体" w:cs="宋体"/>
          <w:bCs/>
          <w:color w:val="auto"/>
          <w:sz w:val="24"/>
          <w:highlight w:val="none"/>
        </w:rPr>
      </w:pPr>
      <w:r>
        <w:rPr>
          <w:rFonts w:hint="eastAsia" w:ascii="宋体" w:hAnsi="宋体" w:cs="宋体"/>
          <w:bCs/>
          <w:color w:val="auto"/>
          <w:sz w:val="24"/>
          <w:highlight w:val="none"/>
        </w:rPr>
        <w:t xml:space="preserve">（五）参加政府采购活动前三年内，在经营活动中没有重大违法记录； </w:t>
      </w:r>
    </w:p>
    <w:p w14:paraId="33F53703">
      <w:pPr>
        <w:shd w:val="clear" w:color="auto" w:fill="auto"/>
        <w:spacing w:line="500" w:lineRule="exact"/>
        <w:ind w:left="567" w:firstLine="240" w:firstLineChars="100"/>
        <w:rPr>
          <w:rFonts w:hint="eastAsia" w:ascii="宋体" w:hAnsi="宋体" w:cs="宋体"/>
          <w:bCs/>
          <w:color w:val="auto"/>
          <w:sz w:val="24"/>
          <w:highlight w:val="none"/>
        </w:rPr>
      </w:pPr>
      <w:r>
        <w:rPr>
          <w:rFonts w:hint="eastAsia" w:ascii="宋体" w:hAnsi="宋体" w:cs="宋体"/>
          <w:bCs/>
          <w:color w:val="auto"/>
          <w:sz w:val="24"/>
          <w:highlight w:val="none"/>
        </w:rPr>
        <w:t xml:space="preserve">（六）法律、行政法规规定的其他条件； </w:t>
      </w:r>
    </w:p>
    <w:p w14:paraId="181F9BC0">
      <w:pPr>
        <w:shd w:val="clear" w:color="auto" w:fill="auto"/>
        <w:spacing w:line="500" w:lineRule="exact"/>
        <w:ind w:left="567" w:firstLine="240" w:firstLineChars="100"/>
        <w:rPr>
          <w:rFonts w:hint="eastAsia" w:ascii="宋体" w:hAnsi="宋体" w:cs="宋体"/>
          <w:bCs/>
          <w:color w:val="auto"/>
          <w:sz w:val="24"/>
          <w:highlight w:val="none"/>
        </w:rPr>
      </w:pPr>
      <w:r>
        <w:rPr>
          <w:rFonts w:hint="eastAsia" w:ascii="宋体" w:hAnsi="宋体" w:cs="宋体"/>
          <w:bCs/>
          <w:color w:val="auto"/>
          <w:sz w:val="24"/>
          <w:highlight w:val="none"/>
        </w:rPr>
        <w:t xml:space="preserve">（七）根据采购项目提出的特殊条件。 </w:t>
      </w:r>
    </w:p>
    <w:p w14:paraId="02D75DF0">
      <w:pPr>
        <w:shd w:val="clear" w:color="auto" w:fill="auto"/>
        <w:spacing w:line="500" w:lineRule="exact"/>
        <w:ind w:left="567"/>
        <w:rPr>
          <w:rFonts w:hint="eastAsia" w:ascii="宋体" w:hAnsi="宋体" w:cs="宋体"/>
          <w:bCs/>
          <w:color w:val="auto"/>
          <w:sz w:val="24"/>
          <w:highlight w:val="none"/>
        </w:rPr>
      </w:pPr>
      <w:r>
        <w:rPr>
          <w:rFonts w:hint="eastAsia" w:ascii="宋体" w:hAnsi="宋体" w:cs="宋体"/>
          <w:bCs/>
          <w:color w:val="auto"/>
          <w:sz w:val="24"/>
          <w:highlight w:val="none"/>
        </w:rPr>
        <w:t>二、完全接受和满足本项目竞争性磋商文件中规定的实质性要求，如对竞争性磋商文件有异议，已经在磋商截止时间届满前依法进行维权，不存在对竞争性磋商文件有异议的同时又参加</w:t>
      </w:r>
      <w:r>
        <w:rPr>
          <w:rFonts w:hint="eastAsia" w:ascii="宋体" w:hAnsi="宋体" w:cs="宋体"/>
          <w:bCs/>
          <w:color w:val="auto"/>
          <w:sz w:val="24"/>
          <w:highlight w:val="none"/>
          <w:lang w:eastAsia="zh-CN"/>
        </w:rPr>
        <w:t>磋商</w:t>
      </w:r>
      <w:r>
        <w:rPr>
          <w:rFonts w:hint="eastAsia" w:ascii="宋体" w:hAnsi="宋体" w:cs="宋体"/>
          <w:bCs/>
          <w:color w:val="auto"/>
          <w:sz w:val="24"/>
          <w:highlight w:val="none"/>
        </w:rPr>
        <w:t>以求侥幸</w:t>
      </w:r>
      <w:r>
        <w:rPr>
          <w:rFonts w:hint="eastAsia" w:ascii="宋体" w:hAnsi="宋体" w:cs="宋体"/>
          <w:bCs/>
          <w:color w:val="auto"/>
          <w:sz w:val="24"/>
          <w:highlight w:val="none"/>
          <w:lang w:eastAsia="zh-CN"/>
        </w:rPr>
        <w:t>成交</w:t>
      </w:r>
      <w:r>
        <w:rPr>
          <w:rFonts w:hint="eastAsia" w:ascii="宋体" w:hAnsi="宋体" w:cs="宋体"/>
          <w:bCs/>
          <w:color w:val="auto"/>
          <w:sz w:val="24"/>
          <w:highlight w:val="none"/>
        </w:rPr>
        <w:t>或者为实现其他非法目的的行为。</w:t>
      </w:r>
    </w:p>
    <w:p w14:paraId="6A2FFE0A">
      <w:pPr>
        <w:shd w:val="clear" w:color="auto" w:fill="auto"/>
        <w:spacing w:line="500" w:lineRule="exact"/>
        <w:ind w:left="567"/>
        <w:rPr>
          <w:rFonts w:hint="eastAsia" w:ascii="宋体" w:hAnsi="宋体" w:cs="宋体"/>
          <w:bCs/>
          <w:color w:val="auto"/>
          <w:sz w:val="24"/>
          <w:highlight w:val="none"/>
        </w:rPr>
      </w:pPr>
      <w:r>
        <w:rPr>
          <w:rFonts w:hint="eastAsia" w:ascii="宋体" w:hAnsi="宋体" w:cs="宋体"/>
          <w:bCs/>
          <w:color w:val="auto"/>
          <w:sz w:val="24"/>
          <w:highlight w:val="none"/>
        </w:rPr>
        <w:t xml:space="preserve">三、参加本次磋商采购活动，不存在与单位负责人为同一人或者存在直接控股、管理关系的其他供应商参与同一合同项下的政府采购活动的行为。 </w:t>
      </w:r>
    </w:p>
    <w:p w14:paraId="621B3DF1">
      <w:pPr>
        <w:shd w:val="clear" w:color="auto" w:fill="auto"/>
        <w:spacing w:line="500" w:lineRule="exact"/>
        <w:ind w:left="567"/>
        <w:rPr>
          <w:rFonts w:hint="eastAsia" w:ascii="宋体" w:hAnsi="宋体" w:cs="宋体"/>
          <w:bCs/>
          <w:color w:val="auto"/>
          <w:sz w:val="24"/>
          <w:highlight w:val="none"/>
        </w:rPr>
      </w:pPr>
      <w:r>
        <w:rPr>
          <w:rFonts w:hint="eastAsia" w:ascii="宋体" w:hAnsi="宋体" w:cs="宋体"/>
          <w:bCs/>
          <w:color w:val="auto"/>
          <w:sz w:val="24"/>
          <w:highlight w:val="none"/>
        </w:rPr>
        <w:t>四、参加本次采购活动，不存在为采购项目提供整体设计、规范编制或者项目管理、监理、检测等服务的行为。</w:t>
      </w:r>
    </w:p>
    <w:p w14:paraId="748F59D7">
      <w:pPr>
        <w:shd w:val="clear" w:color="auto" w:fill="auto"/>
        <w:spacing w:line="500" w:lineRule="exact"/>
        <w:ind w:left="567"/>
        <w:rPr>
          <w:rFonts w:hint="eastAsia" w:ascii="宋体" w:hAnsi="宋体" w:cs="宋体"/>
          <w:bCs/>
          <w:color w:val="auto"/>
          <w:sz w:val="24"/>
          <w:highlight w:val="none"/>
        </w:rPr>
      </w:pPr>
      <w:r>
        <w:rPr>
          <w:rFonts w:hint="eastAsia" w:ascii="宋体" w:hAnsi="宋体" w:cs="宋体"/>
          <w:bCs/>
          <w:color w:val="auto"/>
          <w:sz w:val="24"/>
          <w:highlight w:val="none"/>
        </w:rPr>
        <w:t xml:space="preserve">五、参加本次采购活动，不存在和其他供应商在同一合同项下的采购项目中，同时委托同一个自然人、同一家庭的人员、同一单位的人员作为代理人的行为。 </w:t>
      </w:r>
    </w:p>
    <w:p w14:paraId="1D703316">
      <w:pPr>
        <w:shd w:val="clear" w:color="auto" w:fill="auto"/>
        <w:spacing w:line="500" w:lineRule="exact"/>
        <w:ind w:left="567"/>
        <w:rPr>
          <w:rFonts w:hint="eastAsia" w:ascii="宋体" w:hAnsi="宋体" w:cs="宋体"/>
          <w:bCs/>
          <w:color w:val="auto"/>
          <w:sz w:val="24"/>
          <w:highlight w:val="none"/>
        </w:rPr>
      </w:pPr>
      <w:r>
        <w:rPr>
          <w:rFonts w:hint="eastAsia" w:ascii="宋体" w:hAnsi="宋体" w:cs="宋体"/>
          <w:bCs/>
          <w:color w:val="auto"/>
          <w:sz w:val="24"/>
          <w:highlight w:val="none"/>
        </w:rPr>
        <w:t xml:space="preserve">六、供应商参加本次政府采购活动要求在近三年内供应商和其法定代表人没 </w:t>
      </w:r>
    </w:p>
    <w:p w14:paraId="58C429F8">
      <w:pPr>
        <w:shd w:val="clear" w:color="auto" w:fill="auto"/>
        <w:spacing w:line="500" w:lineRule="exact"/>
        <w:ind w:left="567"/>
        <w:rPr>
          <w:rFonts w:hint="eastAsia" w:ascii="宋体" w:hAnsi="宋体" w:cs="宋体"/>
          <w:bCs/>
          <w:color w:val="auto"/>
          <w:sz w:val="24"/>
          <w:highlight w:val="none"/>
        </w:rPr>
      </w:pPr>
      <w:r>
        <w:rPr>
          <w:rFonts w:hint="eastAsia" w:ascii="宋体" w:hAnsi="宋体" w:cs="宋体"/>
          <w:bCs/>
          <w:color w:val="auto"/>
          <w:sz w:val="24"/>
          <w:highlight w:val="none"/>
        </w:rPr>
        <w:t xml:space="preserve">有行贿犯罪行为。 </w:t>
      </w:r>
    </w:p>
    <w:p w14:paraId="7E007F72">
      <w:pPr>
        <w:shd w:val="clear" w:color="auto" w:fill="auto"/>
        <w:spacing w:line="500" w:lineRule="exact"/>
        <w:ind w:left="567"/>
        <w:rPr>
          <w:rFonts w:hint="eastAsia" w:ascii="宋体" w:hAnsi="宋体" w:cs="宋体"/>
          <w:bCs/>
          <w:color w:val="auto"/>
          <w:sz w:val="24"/>
          <w:highlight w:val="none"/>
        </w:rPr>
      </w:pPr>
      <w:r>
        <w:rPr>
          <w:rFonts w:hint="eastAsia" w:ascii="宋体" w:hAnsi="宋体" w:cs="宋体"/>
          <w:bCs/>
          <w:color w:val="auto"/>
          <w:sz w:val="24"/>
          <w:highlight w:val="none"/>
        </w:rPr>
        <w:t>七、参加本次磋商采购活动，不存在联合体</w:t>
      </w:r>
      <w:r>
        <w:rPr>
          <w:rFonts w:hint="eastAsia" w:ascii="宋体" w:hAnsi="宋体" w:cs="宋体"/>
          <w:bCs/>
          <w:color w:val="auto"/>
          <w:sz w:val="24"/>
          <w:highlight w:val="none"/>
          <w:lang w:eastAsia="zh-CN"/>
        </w:rPr>
        <w:t>磋商</w:t>
      </w:r>
      <w:r>
        <w:rPr>
          <w:rFonts w:hint="eastAsia" w:ascii="宋体" w:hAnsi="宋体" w:cs="宋体"/>
          <w:bCs/>
          <w:color w:val="auto"/>
          <w:sz w:val="24"/>
          <w:highlight w:val="none"/>
        </w:rPr>
        <w:t xml:space="preserve">。 </w:t>
      </w:r>
    </w:p>
    <w:p w14:paraId="2D4D1101">
      <w:pPr>
        <w:shd w:val="clear" w:color="auto" w:fill="auto"/>
        <w:spacing w:line="500" w:lineRule="exact"/>
        <w:ind w:left="567"/>
        <w:rPr>
          <w:rFonts w:hint="eastAsia" w:ascii="宋体" w:hAnsi="宋体" w:cs="宋体"/>
          <w:b/>
          <w:color w:val="auto"/>
          <w:sz w:val="24"/>
          <w:highlight w:val="none"/>
        </w:rPr>
      </w:pPr>
      <w:r>
        <w:rPr>
          <w:rFonts w:hint="eastAsia" w:ascii="宋体" w:hAnsi="宋体" w:cs="宋体"/>
          <w:b/>
          <w:color w:val="auto"/>
          <w:sz w:val="24"/>
          <w:highlight w:val="none"/>
        </w:rPr>
        <w:t xml:space="preserve">八、存在以下行为之一的愿意接受相关部门的处理： </w:t>
      </w:r>
    </w:p>
    <w:p w14:paraId="2AC46C43">
      <w:pPr>
        <w:shd w:val="clear" w:color="auto" w:fill="auto"/>
        <w:spacing w:line="500" w:lineRule="exact"/>
        <w:ind w:left="567"/>
        <w:rPr>
          <w:rFonts w:hint="eastAsia" w:ascii="宋体" w:hAnsi="宋体" w:cs="宋体"/>
          <w:bCs/>
          <w:color w:val="auto"/>
          <w:sz w:val="24"/>
          <w:highlight w:val="none"/>
        </w:rPr>
      </w:pPr>
      <w:r>
        <w:rPr>
          <w:rFonts w:hint="eastAsia" w:ascii="宋体" w:hAnsi="宋体" w:cs="宋体"/>
          <w:bCs/>
          <w:color w:val="auto"/>
          <w:sz w:val="24"/>
          <w:highlight w:val="none"/>
        </w:rPr>
        <w:t xml:space="preserve">（一）磋商有效期内撤销响应文件的； </w:t>
      </w:r>
    </w:p>
    <w:p w14:paraId="7E1F69B3">
      <w:pPr>
        <w:shd w:val="clear" w:color="auto" w:fill="auto"/>
        <w:spacing w:line="500" w:lineRule="exact"/>
        <w:ind w:left="567"/>
        <w:rPr>
          <w:rFonts w:hint="eastAsia" w:ascii="宋体" w:hAnsi="宋体" w:cs="宋体"/>
          <w:bCs/>
          <w:color w:val="auto"/>
          <w:sz w:val="24"/>
          <w:highlight w:val="none"/>
        </w:rPr>
      </w:pPr>
      <w:r>
        <w:rPr>
          <w:rFonts w:hint="eastAsia" w:ascii="宋体" w:hAnsi="宋体" w:cs="宋体"/>
          <w:bCs/>
          <w:color w:val="auto"/>
          <w:sz w:val="24"/>
          <w:highlight w:val="none"/>
        </w:rPr>
        <w:t>（二）在采购人确定成交人以前放弃</w:t>
      </w:r>
      <w:r>
        <w:rPr>
          <w:rFonts w:hint="eastAsia" w:ascii="宋体" w:hAnsi="宋体" w:cs="宋体"/>
          <w:bCs/>
          <w:color w:val="auto"/>
          <w:sz w:val="24"/>
          <w:highlight w:val="none"/>
          <w:lang w:eastAsia="zh-CN"/>
        </w:rPr>
        <w:t>成交</w:t>
      </w:r>
      <w:r>
        <w:rPr>
          <w:rFonts w:hint="eastAsia" w:ascii="宋体" w:hAnsi="宋体" w:cs="宋体"/>
          <w:bCs/>
          <w:color w:val="auto"/>
          <w:sz w:val="24"/>
          <w:highlight w:val="none"/>
        </w:rPr>
        <w:t xml:space="preserve">候选资格的； </w:t>
      </w:r>
    </w:p>
    <w:p w14:paraId="5B2E36F5">
      <w:pPr>
        <w:shd w:val="clear" w:color="auto" w:fill="auto"/>
        <w:spacing w:line="500" w:lineRule="exact"/>
        <w:ind w:left="567"/>
        <w:rPr>
          <w:rFonts w:hint="eastAsia" w:ascii="宋体" w:hAnsi="宋体" w:cs="宋体"/>
          <w:bCs/>
          <w:color w:val="auto"/>
          <w:sz w:val="24"/>
          <w:highlight w:val="none"/>
        </w:rPr>
      </w:pPr>
      <w:r>
        <w:rPr>
          <w:rFonts w:hint="eastAsia" w:ascii="宋体" w:hAnsi="宋体" w:cs="宋体"/>
          <w:bCs/>
          <w:color w:val="auto"/>
          <w:sz w:val="24"/>
          <w:highlight w:val="none"/>
        </w:rPr>
        <w:t>（三）由于成交人的原因未能按照磋商文件的规定与采购人签订合同；</w:t>
      </w:r>
    </w:p>
    <w:p w14:paraId="351B4859">
      <w:pPr>
        <w:shd w:val="clear" w:color="auto" w:fill="auto"/>
        <w:spacing w:line="500" w:lineRule="exact"/>
        <w:ind w:left="567"/>
        <w:rPr>
          <w:rFonts w:hint="eastAsia" w:ascii="宋体" w:hAnsi="宋体" w:cs="宋体"/>
          <w:bCs/>
          <w:color w:val="auto"/>
          <w:sz w:val="24"/>
          <w:highlight w:val="none"/>
        </w:rPr>
      </w:pPr>
      <w:r>
        <w:rPr>
          <w:rFonts w:hint="eastAsia" w:ascii="宋体" w:hAnsi="宋体" w:cs="宋体"/>
          <w:bCs/>
          <w:color w:val="auto"/>
          <w:sz w:val="24"/>
          <w:highlight w:val="none"/>
        </w:rPr>
        <w:t xml:space="preserve">（四）由于成交人的原因未能按照磋商文件的规定交纳履约担保； </w:t>
      </w:r>
    </w:p>
    <w:p w14:paraId="73FB11C3">
      <w:pPr>
        <w:shd w:val="clear" w:color="auto" w:fill="auto"/>
        <w:spacing w:line="500" w:lineRule="exact"/>
        <w:ind w:left="567"/>
        <w:rPr>
          <w:rFonts w:hint="eastAsia" w:ascii="宋体" w:hAnsi="宋体" w:cs="宋体"/>
          <w:bCs/>
          <w:color w:val="auto"/>
          <w:sz w:val="24"/>
          <w:highlight w:val="none"/>
        </w:rPr>
      </w:pPr>
      <w:r>
        <w:rPr>
          <w:rFonts w:hint="eastAsia" w:ascii="宋体" w:hAnsi="宋体" w:cs="宋体"/>
          <w:bCs/>
          <w:color w:val="auto"/>
          <w:sz w:val="24"/>
          <w:highlight w:val="none"/>
        </w:rPr>
        <w:t>（五）在响应文件中提供虚假材料谋取</w:t>
      </w:r>
      <w:r>
        <w:rPr>
          <w:rFonts w:hint="eastAsia" w:ascii="宋体" w:hAnsi="宋体" w:cs="宋体"/>
          <w:bCs/>
          <w:color w:val="auto"/>
          <w:sz w:val="24"/>
          <w:highlight w:val="none"/>
          <w:lang w:eastAsia="zh-CN"/>
        </w:rPr>
        <w:t>成交</w:t>
      </w:r>
      <w:r>
        <w:rPr>
          <w:rFonts w:hint="eastAsia" w:ascii="宋体" w:hAnsi="宋体" w:cs="宋体"/>
          <w:bCs/>
          <w:color w:val="auto"/>
          <w:sz w:val="24"/>
          <w:highlight w:val="none"/>
        </w:rPr>
        <w:t xml:space="preserve">的； </w:t>
      </w:r>
    </w:p>
    <w:p w14:paraId="23415FB4">
      <w:pPr>
        <w:shd w:val="clear" w:color="auto" w:fill="auto"/>
        <w:spacing w:line="500" w:lineRule="exact"/>
        <w:ind w:left="567"/>
        <w:rPr>
          <w:rFonts w:hint="eastAsia" w:ascii="宋体" w:hAnsi="宋体" w:cs="宋体"/>
          <w:bCs/>
          <w:color w:val="auto"/>
          <w:sz w:val="24"/>
          <w:highlight w:val="none"/>
        </w:rPr>
      </w:pPr>
      <w:r>
        <w:rPr>
          <w:rFonts w:hint="eastAsia" w:ascii="宋体" w:hAnsi="宋体" w:cs="宋体"/>
          <w:bCs/>
          <w:color w:val="auto"/>
          <w:sz w:val="24"/>
          <w:highlight w:val="none"/>
        </w:rPr>
        <w:t xml:space="preserve">（六）与采购人、其他供应商或者采购代理机构恶意串通的； </w:t>
      </w:r>
    </w:p>
    <w:p w14:paraId="7F65A1F1">
      <w:pPr>
        <w:shd w:val="clear" w:color="auto" w:fill="auto"/>
        <w:spacing w:line="500" w:lineRule="exact"/>
        <w:ind w:left="567"/>
        <w:rPr>
          <w:rFonts w:hint="eastAsia" w:ascii="宋体" w:hAnsi="宋体" w:cs="宋体"/>
          <w:bCs/>
          <w:color w:val="auto"/>
          <w:sz w:val="24"/>
          <w:highlight w:val="none"/>
        </w:rPr>
      </w:pPr>
      <w:r>
        <w:rPr>
          <w:rFonts w:hint="eastAsia" w:ascii="宋体" w:hAnsi="宋体" w:cs="宋体"/>
          <w:bCs/>
          <w:color w:val="auto"/>
          <w:sz w:val="24"/>
          <w:highlight w:val="none"/>
        </w:rPr>
        <w:t xml:space="preserve">（七）磋商有效期内，供应商在政府采购活动中有违法、违规、违纪行为。 </w:t>
      </w:r>
    </w:p>
    <w:p w14:paraId="091DA16A">
      <w:pPr>
        <w:shd w:val="clear" w:color="auto" w:fill="auto"/>
        <w:spacing w:line="50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 xml:space="preserve">由此产生的一切法律后果和责任由我公司承担。我公司声明放弃对此提出任何异议和追索的权利。 </w:t>
      </w:r>
    </w:p>
    <w:p w14:paraId="1F0B4BD0">
      <w:pPr>
        <w:shd w:val="clear" w:color="auto" w:fill="auto"/>
        <w:spacing w:line="50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本公司对上述承诺的内容事项真实性负责。如经查实上述承诺的内容事项存在虚假，我公司愿意接受以提供虚假材料谋取</w:t>
      </w:r>
      <w:r>
        <w:rPr>
          <w:rFonts w:hint="eastAsia" w:ascii="宋体" w:hAnsi="宋体" w:cs="宋体"/>
          <w:bCs/>
          <w:color w:val="auto"/>
          <w:sz w:val="24"/>
          <w:highlight w:val="none"/>
          <w:lang w:eastAsia="zh-CN"/>
        </w:rPr>
        <w:t>成交</w:t>
      </w:r>
      <w:r>
        <w:rPr>
          <w:rFonts w:hint="eastAsia" w:ascii="宋体" w:hAnsi="宋体" w:cs="宋体"/>
          <w:bCs/>
          <w:color w:val="auto"/>
          <w:sz w:val="24"/>
          <w:highlight w:val="none"/>
        </w:rPr>
        <w:t>追究法律责任。</w:t>
      </w:r>
    </w:p>
    <w:p w14:paraId="76FEF19F">
      <w:pPr>
        <w:pStyle w:val="5"/>
        <w:shd w:val="clear" w:color="auto" w:fill="auto"/>
        <w:outlineLvl w:val="9"/>
        <w:rPr>
          <w:rFonts w:hint="eastAsia" w:ascii="宋体" w:hAnsi="宋体" w:cs="宋体"/>
          <w:color w:val="auto"/>
          <w:sz w:val="24"/>
          <w:highlight w:val="none"/>
          <w:lang w:eastAsia="zh-CN"/>
        </w:rPr>
      </w:pPr>
    </w:p>
    <w:p w14:paraId="7BB999F1">
      <w:pPr>
        <w:shd w:val="clear" w:color="auto" w:fill="auto"/>
        <w:rPr>
          <w:rFonts w:hint="eastAsia"/>
          <w:color w:val="auto"/>
          <w:highlight w:val="none"/>
        </w:rPr>
      </w:pPr>
    </w:p>
    <w:p w14:paraId="43B3DB59">
      <w:pPr>
        <w:shd w:val="clear" w:color="auto" w:fill="auto"/>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 xml:space="preserve">                            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（盖单位公章）</w:t>
      </w:r>
    </w:p>
    <w:p w14:paraId="3602328B">
      <w:pPr>
        <w:shd w:val="clear" w:color="auto" w:fill="auto"/>
        <w:rPr>
          <w:rFonts w:hint="eastAsia"/>
          <w:color w:val="auto"/>
          <w:highlight w:val="none"/>
        </w:rPr>
      </w:pPr>
    </w:p>
    <w:p w14:paraId="475E69F6">
      <w:pPr>
        <w:pStyle w:val="38"/>
        <w:shd w:val="clear" w:color="auto" w:fill="auto"/>
        <w:jc w:val="center"/>
        <w:rPr>
          <w:rFonts w:hint="eastAsia"/>
          <w:color w:val="auto"/>
          <w:highlight w:val="none"/>
        </w:rPr>
      </w:pPr>
      <w:r>
        <w:rPr>
          <w:rFonts w:hint="eastAsia" w:hAnsi="宋体"/>
          <w:bCs/>
          <w:color w:val="auto"/>
          <w:highlight w:val="none"/>
        </w:rPr>
        <w:t xml:space="preserve">                             法定代表人：</w:t>
      </w:r>
      <w:r>
        <w:rPr>
          <w:rFonts w:hint="eastAsia" w:hAnsi="宋体"/>
          <w:bCs/>
          <w:color w:val="auto"/>
          <w:highlight w:val="none"/>
          <w:u w:val="single"/>
        </w:rPr>
        <w:t xml:space="preserve">                 </w:t>
      </w:r>
      <w:r>
        <w:rPr>
          <w:rFonts w:hint="eastAsia" w:hAnsi="宋体"/>
          <w:bCs/>
          <w:color w:val="auto"/>
          <w:highlight w:val="none"/>
          <w:u w:val="none"/>
        </w:rPr>
        <w:t>（</w:t>
      </w:r>
      <w:r>
        <w:rPr>
          <w:rFonts w:hint="eastAsia" w:hAnsi="宋体"/>
          <w:bCs/>
          <w:color w:val="auto"/>
          <w:highlight w:val="none"/>
          <w:u w:val="none"/>
          <w:lang w:val="en-US" w:eastAsia="zh-CN"/>
        </w:rPr>
        <w:t>电子</w:t>
      </w:r>
      <w:r>
        <w:rPr>
          <w:rFonts w:hint="eastAsia" w:hAnsi="宋体"/>
          <w:bCs/>
          <w:color w:val="auto"/>
          <w:highlight w:val="none"/>
          <w:u w:val="none"/>
        </w:rPr>
        <w:t>签章）</w:t>
      </w:r>
    </w:p>
    <w:p w14:paraId="1A65998B">
      <w:pPr>
        <w:pStyle w:val="6"/>
        <w:shd w:val="clear" w:color="auto" w:fill="auto"/>
        <w:spacing w:line="480" w:lineRule="auto"/>
        <w:ind w:right="480" w:firstLine="480"/>
        <w:jc w:val="right"/>
        <w:rPr>
          <w:rFonts w:hint="eastAsia" w:hAnsi="宋体" w:eastAsia="宋体" w:cs="宋体"/>
          <w:color w:val="auto"/>
          <w:kern w:val="2"/>
          <w:szCs w:val="22"/>
          <w:highlight w:val="none"/>
          <w:lang w:val="en-US" w:eastAsia="zh-CN"/>
        </w:rPr>
      </w:pPr>
      <w:r>
        <w:rPr>
          <w:rFonts w:hint="eastAsia" w:hAnsi="宋体" w:eastAsia="宋体" w:cs="宋体"/>
          <w:color w:val="auto"/>
          <w:highlight w:val="none"/>
        </w:rPr>
        <w:t xml:space="preserve">     </w:t>
      </w:r>
      <w:r>
        <w:rPr>
          <w:rFonts w:hint="eastAsia" w:hAnsi="宋体" w:eastAsia="宋体" w:cs="宋体"/>
          <w:color w:val="auto"/>
          <w:highlight w:val="none"/>
          <w:u w:val="single"/>
        </w:rPr>
        <w:t xml:space="preserve"> </w:t>
      </w:r>
      <w:r>
        <w:rPr>
          <w:rFonts w:hint="eastAsia" w:hAnsi="宋体" w:eastAsia="宋体" w:cs="宋体"/>
          <w:color w:val="auto"/>
          <w:kern w:val="2"/>
          <w:szCs w:val="22"/>
          <w:highlight w:val="none"/>
          <w:u w:val="single"/>
          <w:lang w:val="en-US" w:eastAsia="zh-CN"/>
        </w:rPr>
        <w:t xml:space="preserve">    </w:t>
      </w:r>
      <w:r>
        <w:rPr>
          <w:rFonts w:hint="eastAsia" w:hAnsi="宋体" w:eastAsia="宋体" w:cs="宋体"/>
          <w:color w:val="auto"/>
          <w:kern w:val="2"/>
          <w:szCs w:val="22"/>
          <w:highlight w:val="none"/>
          <w:lang w:val="en-US" w:eastAsia="zh-CN"/>
        </w:rPr>
        <w:t>年</w:t>
      </w:r>
      <w:r>
        <w:rPr>
          <w:rFonts w:hint="eastAsia" w:hAnsi="宋体" w:eastAsia="宋体" w:cs="宋体"/>
          <w:color w:val="auto"/>
          <w:kern w:val="2"/>
          <w:szCs w:val="22"/>
          <w:highlight w:val="none"/>
          <w:u w:val="single"/>
          <w:lang w:val="en-US" w:eastAsia="zh-CN"/>
        </w:rPr>
        <w:t xml:space="preserve">     </w:t>
      </w:r>
      <w:r>
        <w:rPr>
          <w:rFonts w:hint="eastAsia" w:hAnsi="宋体" w:eastAsia="宋体" w:cs="宋体"/>
          <w:color w:val="auto"/>
          <w:kern w:val="2"/>
          <w:szCs w:val="22"/>
          <w:highlight w:val="none"/>
          <w:lang w:val="en-US" w:eastAsia="zh-CN"/>
        </w:rPr>
        <w:t>月</w:t>
      </w:r>
      <w:r>
        <w:rPr>
          <w:rFonts w:hint="eastAsia" w:hAnsi="宋体" w:eastAsia="宋体" w:cs="宋体"/>
          <w:color w:val="auto"/>
          <w:kern w:val="2"/>
          <w:szCs w:val="22"/>
          <w:highlight w:val="none"/>
          <w:u w:val="single"/>
          <w:lang w:val="en-US" w:eastAsia="zh-CN"/>
        </w:rPr>
        <w:t xml:space="preserve">     </w:t>
      </w:r>
      <w:r>
        <w:rPr>
          <w:rFonts w:hint="eastAsia" w:hAnsi="宋体" w:eastAsia="宋体" w:cs="宋体"/>
          <w:color w:val="auto"/>
          <w:kern w:val="2"/>
          <w:szCs w:val="22"/>
          <w:highlight w:val="none"/>
          <w:lang w:val="en-US" w:eastAsia="zh-CN"/>
        </w:rPr>
        <w:t>日</w:t>
      </w:r>
    </w:p>
    <w:p w14:paraId="69A14629">
      <w:pPr>
        <w:shd w:val="clear" w:color="auto" w:fill="auto"/>
        <w:spacing w:line="500" w:lineRule="exact"/>
        <w:rPr>
          <w:rFonts w:hint="eastAsia" w:ascii="宋体" w:hAnsi="宋体" w:cs="宋体"/>
          <w:bCs/>
          <w:color w:val="auto"/>
          <w:sz w:val="24"/>
          <w:highlight w:val="none"/>
        </w:rPr>
      </w:pPr>
    </w:p>
    <w:p w14:paraId="4AC38984">
      <w:pPr>
        <w:shd w:val="clear" w:color="auto" w:fill="auto"/>
        <w:spacing w:line="500" w:lineRule="exact"/>
        <w:rPr>
          <w:rFonts w:hint="eastAsia" w:ascii="宋体" w:hAnsi="宋体" w:cs="宋体"/>
          <w:bCs/>
          <w:color w:val="auto"/>
          <w:sz w:val="24"/>
          <w:highlight w:val="none"/>
        </w:rPr>
      </w:pPr>
    </w:p>
    <w:p w14:paraId="5D8158A1">
      <w:pPr>
        <w:shd w:val="clear" w:color="auto" w:fill="auto"/>
        <w:spacing w:line="500" w:lineRule="exact"/>
        <w:rPr>
          <w:rFonts w:hint="eastAsia" w:ascii="宋体" w:hAnsi="宋体" w:cs="宋体"/>
          <w:bCs/>
          <w:color w:val="auto"/>
          <w:sz w:val="24"/>
          <w:highlight w:val="none"/>
        </w:rPr>
      </w:pPr>
    </w:p>
    <w:p w14:paraId="3831EDA6">
      <w:pPr>
        <w:shd w:val="clear" w:color="auto" w:fill="auto"/>
        <w:spacing w:line="500" w:lineRule="exact"/>
        <w:rPr>
          <w:rFonts w:hint="eastAsia" w:ascii="宋体" w:hAnsi="宋体" w:cs="宋体"/>
          <w:bCs/>
          <w:color w:val="auto"/>
          <w:sz w:val="24"/>
          <w:highlight w:val="none"/>
        </w:rPr>
      </w:pPr>
    </w:p>
    <w:p w14:paraId="13CAF712">
      <w:pPr>
        <w:shd w:val="clear" w:color="auto" w:fill="auto"/>
        <w:spacing w:line="500" w:lineRule="exact"/>
        <w:rPr>
          <w:rFonts w:hint="eastAsia" w:ascii="宋体" w:hAnsi="宋体" w:cs="宋体"/>
          <w:bCs/>
          <w:color w:val="auto"/>
          <w:sz w:val="24"/>
          <w:highlight w:val="none"/>
        </w:rPr>
      </w:pPr>
    </w:p>
    <w:p w14:paraId="5A1186BC">
      <w:pPr>
        <w:shd w:val="clear" w:color="auto" w:fill="auto"/>
        <w:spacing w:line="500" w:lineRule="exact"/>
        <w:rPr>
          <w:rFonts w:hint="eastAsia" w:ascii="宋体" w:hAnsi="宋体" w:cs="宋体"/>
          <w:bCs/>
          <w:color w:val="auto"/>
          <w:sz w:val="24"/>
          <w:highlight w:val="none"/>
        </w:rPr>
      </w:pPr>
    </w:p>
    <w:p w14:paraId="04DDFB20">
      <w:pPr>
        <w:shd w:val="clear" w:color="auto" w:fill="auto"/>
        <w:spacing w:line="500" w:lineRule="exact"/>
        <w:rPr>
          <w:rFonts w:hint="eastAsia" w:ascii="宋体" w:hAnsi="宋体" w:cs="宋体"/>
          <w:b/>
          <w:color w:val="auto"/>
          <w:sz w:val="24"/>
          <w:highlight w:val="none"/>
        </w:rPr>
      </w:pPr>
      <w:r>
        <w:rPr>
          <w:rFonts w:hint="eastAsia" w:ascii="宋体" w:hAnsi="宋体" w:cs="宋体"/>
          <w:b/>
          <w:color w:val="auto"/>
          <w:sz w:val="24"/>
          <w:highlight w:val="none"/>
        </w:rPr>
        <w:t>附件二：</w:t>
      </w:r>
    </w:p>
    <w:p w14:paraId="2CB07E1A">
      <w:pPr>
        <w:pStyle w:val="5"/>
        <w:shd w:val="clear" w:color="auto" w:fill="auto"/>
        <w:outlineLvl w:val="9"/>
        <w:rPr>
          <w:rFonts w:hint="eastAsia"/>
          <w:color w:val="auto"/>
          <w:highlight w:val="none"/>
          <w:lang w:eastAsia="zh-CN"/>
        </w:rPr>
      </w:pPr>
    </w:p>
    <w:p w14:paraId="46EDD161">
      <w:pPr>
        <w:widowControl w:val="0"/>
        <w:shd w:val="clear" w:color="auto" w:fill="auto"/>
        <w:spacing w:line="360" w:lineRule="auto"/>
        <w:rPr>
          <w:rFonts w:hint="eastAsia" w:ascii="宋体" w:hAnsi="宋体" w:cs="宋体"/>
          <w:b/>
          <w:color w:val="auto"/>
          <w:sz w:val="24"/>
          <w:highlight w:val="none"/>
          <w:u w:val="single"/>
        </w:rPr>
      </w:pPr>
      <w:r>
        <w:rPr>
          <w:rFonts w:hint="eastAsia" w:ascii="宋体" w:hAnsi="宋体" w:cs="宋体"/>
          <w:b/>
          <w:color w:val="auto"/>
          <w:sz w:val="24"/>
          <w:highlight w:val="none"/>
        </w:rPr>
        <w:t>致：</w:t>
      </w:r>
      <w:r>
        <w:rPr>
          <w:rFonts w:hint="eastAsia" w:ascii="宋体" w:hAnsi="宋体" w:cs="宋体"/>
          <w:b/>
          <w:color w:val="auto"/>
          <w:sz w:val="24"/>
          <w:highlight w:val="none"/>
          <w:u w:val="single"/>
        </w:rPr>
        <w:t xml:space="preserve"> （采购人及采购代理机构） </w:t>
      </w:r>
    </w:p>
    <w:p w14:paraId="45AC7BB5">
      <w:pPr>
        <w:widowControl w:val="0"/>
        <w:shd w:val="clear" w:color="auto" w:fill="auto"/>
        <w:spacing w:line="360" w:lineRule="auto"/>
        <w:ind w:firstLine="960" w:firstLineChars="400"/>
        <w:jc w:val="both"/>
        <w:rPr>
          <w:rFonts w:hint="eastAsia" w:ascii="宋体" w:hAnsi="宋体" w:cs="宋体"/>
          <w:color w:val="auto"/>
          <w:sz w:val="24"/>
          <w:szCs w:val="28"/>
          <w:highlight w:val="none"/>
        </w:rPr>
      </w:pPr>
      <w:r>
        <w:rPr>
          <w:rFonts w:hint="eastAsia" w:ascii="宋体" w:hAnsi="宋体" w:cs="宋体"/>
          <w:color w:val="auto"/>
          <w:sz w:val="24"/>
          <w:szCs w:val="28"/>
          <w:highlight w:val="none"/>
        </w:rPr>
        <w:t>我们在贵公司组织的（</w:t>
      </w:r>
      <w:r>
        <w:rPr>
          <w:rFonts w:hint="eastAsia" w:ascii="宋体" w:hAnsi="宋体" w:cs="宋体"/>
          <w:sz w:val="24"/>
          <w:highlight w:val="none"/>
        </w:rPr>
        <w:t>项目名称</w:t>
      </w:r>
      <w:r>
        <w:rPr>
          <w:rFonts w:hint="eastAsia" w:ascii="宋体" w:hAnsi="宋体" w:cs="宋体"/>
          <w:sz w:val="24"/>
          <w:highlight w:val="none"/>
          <w:lang w:eastAsia="zh-CN"/>
        </w:rPr>
        <w:t>、</w:t>
      </w:r>
      <w:r>
        <w:rPr>
          <w:rFonts w:hint="eastAsia" w:ascii="宋体" w:hAnsi="宋体" w:cs="宋体"/>
          <w:sz w:val="24"/>
          <w:highlight w:val="none"/>
          <w:lang w:val="en-US" w:eastAsia="zh-CN"/>
        </w:rPr>
        <w:t>标段）</w:t>
      </w:r>
      <w:r>
        <w:rPr>
          <w:rFonts w:hint="eastAsia" w:ascii="宋体" w:hAnsi="宋体" w:cs="宋体"/>
          <w:color w:val="auto"/>
          <w:sz w:val="24"/>
          <w:szCs w:val="28"/>
          <w:highlight w:val="none"/>
        </w:rPr>
        <w:t>：</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 xml:space="preserve"> ，</w:t>
      </w:r>
      <w:r>
        <w:rPr>
          <w:rFonts w:hint="eastAsia" w:ascii="宋体" w:hAnsi="宋体" w:cs="宋体"/>
          <w:color w:val="auto"/>
          <w:sz w:val="24"/>
          <w:szCs w:val="28"/>
          <w:highlight w:val="none"/>
          <w:lang w:eastAsia="zh-CN"/>
        </w:rPr>
        <w:t>项目</w:t>
      </w:r>
      <w:r>
        <w:rPr>
          <w:rFonts w:hint="eastAsia" w:ascii="宋体" w:hAnsi="宋体" w:cs="宋体"/>
          <w:color w:val="auto"/>
          <w:sz w:val="24"/>
          <w:szCs w:val="28"/>
          <w:highlight w:val="none"/>
        </w:rPr>
        <w:t>编号：</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w:t>
      </w:r>
      <w:r>
        <w:rPr>
          <w:rFonts w:hint="eastAsia" w:ascii="宋体" w:hAnsi="宋体" w:cs="宋体"/>
          <w:color w:val="auto"/>
          <w:sz w:val="24"/>
          <w:szCs w:val="28"/>
          <w:highlight w:val="none"/>
          <w:lang w:eastAsia="zh-CN"/>
        </w:rPr>
        <w:t>采购</w:t>
      </w:r>
      <w:r>
        <w:rPr>
          <w:rFonts w:hint="eastAsia" w:ascii="宋体" w:hAnsi="宋体" w:cs="宋体"/>
          <w:color w:val="auto"/>
          <w:sz w:val="24"/>
          <w:szCs w:val="28"/>
          <w:highlight w:val="none"/>
        </w:rPr>
        <w:t>中若获</w:t>
      </w:r>
      <w:r>
        <w:rPr>
          <w:rFonts w:hint="eastAsia" w:ascii="宋体" w:hAnsi="宋体" w:cs="宋体"/>
          <w:color w:val="auto"/>
          <w:sz w:val="24"/>
          <w:szCs w:val="28"/>
          <w:highlight w:val="none"/>
          <w:lang w:eastAsia="zh-CN"/>
        </w:rPr>
        <w:t>成交</w:t>
      </w:r>
      <w:r>
        <w:rPr>
          <w:rFonts w:hint="eastAsia" w:ascii="宋体" w:hAnsi="宋体" w:cs="宋体"/>
          <w:color w:val="auto"/>
          <w:sz w:val="24"/>
          <w:szCs w:val="28"/>
          <w:highlight w:val="none"/>
        </w:rPr>
        <w:t>资格，我们保证在成交结果公告发布后5个工作日内，按磋商文件的规定，以支票、银行转账、汇票或现金，向贵公司一次性支付</w:t>
      </w:r>
      <w:r>
        <w:rPr>
          <w:rFonts w:hint="eastAsia" w:ascii="宋体" w:hAnsi="宋体" w:cs="宋体"/>
          <w:color w:val="auto"/>
          <w:sz w:val="24"/>
          <w:szCs w:val="28"/>
          <w:highlight w:val="none"/>
          <w:lang w:eastAsia="zh-CN"/>
        </w:rPr>
        <w:t>采购</w:t>
      </w:r>
      <w:r>
        <w:rPr>
          <w:rFonts w:hint="eastAsia" w:ascii="宋体" w:hAnsi="宋体" w:cs="宋体"/>
          <w:color w:val="auto"/>
          <w:sz w:val="24"/>
          <w:szCs w:val="28"/>
          <w:highlight w:val="none"/>
        </w:rPr>
        <w:t>代理服务费用。否则，由此产生的一切法律后果和责任由我公司承担。我公司声明放弃对此提出任何异议和追索的权利。</w:t>
      </w:r>
    </w:p>
    <w:p w14:paraId="28D2A4AB">
      <w:pPr>
        <w:shd w:val="clear" w:color="auto" w:fill="auto"/>
        <w:spacing w:line="460" w:lineRule="exact"/>
        <w:ind w:firstLine="480" w:firstLineChars="200"/>
        <w:jc w:val="both"/>
        <w:rPr>
          <w:rFonts w:hint="eastAsia" w:ascii="宋体" w:hAnsi="宋体" w:cs="宋体"/>
          <w:color w:val="auto"/>
          <w:sz w:val="24"/>
          <w:szCs w:val="28"/>
          <w:highlight w:val="none"/>
        </w:rPr>
      </w:pPr>
    </w:p>
    <w:p w14:paraId="1E1CCFB2">
      <w:pPr>
        <w:shd w:val="clear" w:color="auto" w:fill="auto"/>
        <w:spacing w:line="460" w:lineRule="exact"/>
        <w:ind w:firstLine="480" w:firstLineChars="200"/>
        <w:jc w:val="both"/>
        <w:rPr>
          <w:rFonts w:hint="eastAsia" w:ascii="宋体" w:hAnsi="宋体" w:cs="宋体"/>
          <w:color w:val="auto"/>
          <w:sz w:val="24"/>
          <w:szCs w:val="28"/>
          <w:highlight w:val="none"/>
        </w:rPr>
      </w:pPr>
      <w:r>
        <w:rPr>
          <w:rFonts w:hint="eastAsia" w:ascii="宋体" w:hAnsi="宋体" w:cs="宋体"/>
          <w:color w:val="auto"/>
          <w:sz w:val="24"/>
          <w:szCs w:val="28"/>
          <w:highlight w:val="none"/>
        </w:rPr>
        <w:t>特此承诺。</w:t>
      </w:r>
    </w:p>
    <w:p w14:paraId="0E521E8F">
      <w:pPr>
        <w:shd w:val="clear" w:color="auto" w:fill="auto"/>
        <w:spacing w:line="460" w:lineRule="exact"/>
        <w:ind w:firstLine="480" w:firstLineChars="200"/>
        <w:rPr>
          <w:rFonts w:hint="eastAsia" w:ascii="宋体" w:hAnsi="宋体" w:cs="宋体"/>
          <w:color w:val="auto"/>
          <w:sz w:val="24"/>
          <w:szCs w:val="28"/>
          <w:highlight w:val="none"/>
        </w:rPr>
      </w:pPr>
    </w:p>
    <w:p w14:paraId="61B0F0C2">
      <w:pPr>
        <w:shd w:val="clear" w:color="auto" w:fill="auto"/>
        <w:spacing w:line="520" w:lineRule="exact"/>
        <w:jc w:val="right"/>
        <w:rPr>
          <w:rFonts w:hint="eastAsia" w:ascii="宋体" w:hAnsi="宋体" w:cs="宋体"/>
          <w:color w:val="auto"/>
          <w:sz w:val="24"/>
          <w:highlight w:val="none"/>
        </w:rPr>
      </w:pPr>
    </w:p>
    <w:p w14:paraId="22EF19E7">
      <w:pPr>
        <w:shd w:val="clear" w:color="auto" w:fill="auto"/>
        <w:spacing w:line="520" w:lineRule="exact"/>
        <w:jc w:val="right"/>
        <w:rPr>
          <w:rFonts w:hint="eastAsia" w:ascii="宋体" w:hAnsi="宋体" w:cs="宋体"/>
          <w:color w:val="auto"/>
          <w:sz w:val="24"/>
          <w:highlight w:val="none"/>
        </w:rPr>
      </w:pPr>
    </w:p>
    <w:p w14:paraId="5215DB48">
      <w:pPr>
        <w:shd w:val="clear" w:color="auto" w:fill="auto"/>
        <w:spacing w:line="520" w:lineRule="exact"/>
        <w:jc w:val="right"/>
        <w:rPr>
          <w:rFonts w:hint="eastAsia" w:ascii="宋体" w:hAnsi="宋体" w:cs="宋体"/>
          <w:color w:val="auto"/>
          <w:sz w:val="24"/>
          <w:highlight w:val="none"/>
        </w:rPr>
      </w:pPr>
    </w:p>
    <w:p w14:paraId="12D07F9D">
      <w:pPr>
        <w:shd w:val="clear" w:color="auto" w:fill="auto"/>
        <w:spacing w:line="440" w:lineRule="exact"/>
        <w:jc w:val="right"/>
        <w:rPr>
          <w:rFonts w:hint="eastAsia"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（盖单位公章）</w:t>
      </w:r>
    </w:p>
    <w:p w14:paraId="3AF819B5">
      <w:pPr>
        <w:shd w:val="clear" w:color="auto" w:fill="auto"/>
        <w:rPr>
          <w:rFonts w:hint="eastAsia"/>
          <w:color w:val="auto"/>
          <w:highlight w:val="none"/>
        </w:rPr>
      </w:pPr>
    </w:p>
    <w:p w14:paraId="795C6654">
      <w:pPr>
        <w:pStyle w:val="6"/>
        <w:shd w:val="clear" w:color="auto" w:fill="auto"/>
        <w:spacing w:line="480" w:lineRule="auto"/>
        <w:ind w:right="480" w:firstLine="480"/>
        <w:jc w:val="right"/>
        <w:rPr>
          <w:rFonts w:hint="eastAsia" w:hAnsi="宋体" w:eastAsia="宋体" w:cs="宋体"/>
          <w:color w:val="auto"/>
          <w:kern w:val="2"/>
          <w:szCs w:val="22"/>
          <w:highlight w:val="none"/>
          <w:lang w:val="en-US" w:eastAsia="zh-CN"/>
        </w:rPr>
      </w:pPr>
      <w:r>
        <w:rPr>
          <w:rFonts w:hint="eastAsia" w:hAnsi="宋体"/>
          <w:bCs/>
          <w:color w:val="auto"/>
          <w:highlight w:val="none"/>
        </w:rPr>
        <w:t xml:space="preserve">        </w:t>
      </w:r>
      <w:r>
        <w:rPr>
          <w:rFonts w:hint="eastAsia" w:ascii="宋体" w:hAnsi="宋体" w:cs="宋体" w:eastAsiaTheme="minorEastAsia"/>
          <w:color w:val="auto"/>
          <w:kern w:val="2"/>
          <w:sz w:val="24"/>
          <w:szCs w:val="22"/>
          <w:highlight w:val="none"/>
          <w:lang w:val="en-US" w:eastAsia="zh-CN" w:bidi="ar-SA"/>
        </w:rPr>
        <w:t xml:space="preserve">               法定代表人：</w:t>
      </w:r>
      <w:r>
        <w:rPr>
          <w:rFonts w:hint="eastAsia" w:ascii="宋体" w:hAnsi="宋体" w:cs="宋体" w:eastAsiaTheme="minorEastAsia"/>
          <w:color w:val="auto"/>
          <w:kern w:val="2"/>
          <w:sz w:val="24"/>
          <w:szCs w:val="22"/>
          <w:highlight w:val="none"/>
          <w:u w:val="single"/>
          <w:lang w:val="en-US" w:eastAsia="zh-CN" w:bidi="ar-SA"/>
        </w:rPr>
        <w:t xml:space="preserve">             </w:t>
      </w:r>
      <w:r>
        <w:rPr>
          <w:rFonts w:hint="eastAsia" w:ascii="宋体" w:hAnsi="宋体" w:cs="宋体" w:eastAsiaTheme="minorEastAsia"/>
          <w:color w:val="auto"/>
          <w:kern w:val="2"/>
          <w:sz w:val="24"/>
          <w:szCs w:val="22"/>
          <w:highlight w:val="none"/>
          <w:lang w:val="en-US" w:eastAsia="zh-CN" w:bidi="ar-SA"/>
        </w:rPr>
        <w:t xml:space="preserve">（电子签章）     </w:t>
      </w:r>
      <w:r>
        <w:rPr>
          <w:rFonts w:hint="eastAsia" w:hAnsi="宋体" w:eastAsia="宋体" w:cs="宋体"/>
          <w:color w:val="auto"/>
          <w:highlight w:val="none"/>
          <w:u w:val="single"/>
        </w:rPr>
        <w:t xml:space="preserve"> </w:t>
      </w:r>
      <w:r>
        <w:rPr>
          <w:rFonts w:hint="eastAsia" w:hAnsi="宋体" w:eastAsia="宋体" w:cs="宋体"/>
          <w:color w:val="auto"/>
          <w:kern w:val="2"/>
          <w:szCs w:val="22"/>
          <w:highlight w:val="none"/>
          <w:u w:val="single"/>
          <w:lang w:val="en-US" w:eastAsia="zh-CN"/>
        </w:rPr>
        <w:t xml:space="preserve">    </w:t>
      </w:r>
      <w:r>
        <w:rPr>
          <w:rFonts w:hint="eastAsia" w:hAnsi="宋体" w:eastAsia="宋体" w:cs="宋体"/>
          <w:color w:val="auto"/>
          <w:kern w:val="2"/>
          <w:szCs w:val="22"/>
          <w:highlight w:val="none"/>
          <w:lang w:val="en-US" w:eastAsia="zh-CN"/>
        </w:rPr>
        <w:t>年</w:t>
      </w:r>
      <w:r>
        <w:rPr>
          <w:rFonts w:hint="eastAsia" w:hAnsi="宋体" w:eastAsia="宋体" w:cs="宋体"/>
          <w:color w:val="auto"/>
          <w:kern w:val="2"/>
          <w:szCs w:val="22"/>
          <w:highlight w:val="none"/>
          <w:u w:val="single"/>
          <w:lang w:val="en-US" w:eastAsia="zh-CN"/>
        </w:rPr>
        <w:t xml:space="preserve">     </w:t>
      </w:r>
      <w:r>
        <w:rPr>
          <w:rFonts w:hint="eastAsia" w:hAnsi="宋体" w:eastAsia="宋体" w:cs="宋体"/>
          <w:color w:val="auto"/>
          <w:kern w:val="2"/>
          <w:szCs w:val="22"/>
          <w:highlight w:val="none"/>
          <w:lang w:val="en-US" w:eastAsia="zh-CN"/>
        </w:rPr>
        <w:t>月</w:t>
      </w:r>
      <w:r>
        <w:rPr>
          <w:rFonts w:hint="eastAsia" w:hAnsi="宋体" w:eastAsia="宋体" w:cs="宋体"/>
          <w:color w:val="auto"/>
          <w:kern w:val="2"/>
          <w:szCs w:val="22"/>
          <w:highlight w:val="none"/>
          <w:u w:val="single"/>
          <w:lang w:val="en-US" w:eastAsia="zh-CN"/>
        </w:rPr>
        <w:t xml:space="preserve">     </w:t>
      </w:r>
      <w:r>
        <w:rPr>
          <w:rFonts w:hint="eastAsia" w:hAnsi="宋体" w:eastAsia="宋体" w:cs="宋体"/>
          <w:color w:val="auto"/>
          <w:kern w:val="2"/>
          <w:szCs w:val="22"/>
          <w:highlight w:val="none"/>
          <w:lang w:val="en-US" w:eastAsia="zh-CN"/>
        </w:rPr>
        <w:t>日</w:t>
      </w:r>
    </w:p>
    <w:p w14:paraId="23E19556">
      <w:pPr>
        <w:shd w:val="clear" w:color="auto" w:fill="auto"/>
        <w:spacing w:line="520" w:lineRule="exact"/>
        <w:jc w:val="center"/>
        <w:rPr>
          <w:rFonts w:hint="eastAsia" w:ascii="宋体" w:hAnsi="宋体" w:cs="宋体"/>
          <w:color w:val="auto"/>
          <w:sz w:val="24"/>
          <w:highlight w:val="none"/>
        </w:rPr>
      </w:pPr>
    </w:p>
    <w:p w14:paraId="0A03C7BE">
      <w:pPr>
        <w:pStyle w:val="3"/>
        <w:keepLines w:val="0"/>
        <w:spacing w:before="0" w:after="0" w:line="500" w:lineRule="exact"/>
        <w:ind w:left="0" w:leftChars="0" w:firstLine="0" w:firstLineChars="0"/>
        <w:jc w:val="both"/>
        <w:rPr>
          <w:rFonts w:hint="eastAsia" w:ascii="宋体" w:hAnsi="宋体" w:eastAsia="宋体" w:cs="宋体"/>
          <w:b/>
          <w:bCs/>
          <w:sz w:val="32"/>
          <w:szCs w:val="32"/>
          <w:highlight w:val="none"/>
        </w:rPr>
      </w:pPr>
    </w:p>
    <w:p w14:paraId="53BB5E57">
      <w:pPr>
        <w:spacing w:line="360" w:lineRule="auto"/>
        <w:jc w:val="center"/>
        <w:rPr>
          <w:rFonts w:hint="eastAsia" w:ascii="宋体" w:hAnsi="宋体" w:cs="宋体"/>
          <w:b/>
          <w:sz w:val="24"/>
          <w:highlight w:val="none"/>
        </w:rPr>
      </w:pPr>
    </w:p>
    <w:p w14:paraId="7254ED26">
      <w:pPr>
        <w:jc w:val="center"/>
        <w:outlineLvl w:val="0"/>
        <w:rPr>
          <w:rFonts w:hint="eastAsia" w:ascii="宋体" w:hAnsi="宋体" w:eastAsia="宋体" w:cs="宋体"/>
          <w:b/>
          <w:bCs/>
          <w:sz w:val="28"/>
          <w:highlight w:val="none"/>
          <w:lang w:eastAsia="zh-CN"/>
        </w:rPr>
      </w:pPr>
      <w:bookmarkStart w:id="1309" w:name="_Toc24853"/>
      <w:bookmarkStart w:id="1310" w:name="_Toc21304"/>
      <w:bookmarkStart w:id="1311" w:name="_Toc20242"/>
      <w:bookmarkStart w:id="1312" w:name="_Toc13102_WPSOffice_Level1"/>
      <w:bookmarkStart w:id="1313" w:name="_Toc3103_WPSOffice_Level1"/>
      <w:bookmarkStart w:id="1314" w:name="_Toc8099"/>
      <w:bookmarkStart w:id="1315" w:name="_Toc16273"/>
    </w:p>
    <w:p w14:paraId="7D661A7C">
      <w:pPr>
        <w:jc w:val="center"/>
        <w:outlineLvl w:val="0"/>
        <w:rPr>
          <w:rFonts w:hint="eastAsia" w:ascii="宋体" w:hAnsi="宋体" w:eastAsia="宋体" w:cs="宋体"/>
          <w:b/>
          <w:bCs/>
          <w:sz w:val="28"/>
          <w:highlight w:val="none"/>
          <w:lang w:eastAsia="zh-CN"/>
        </w:rPr>
      </w:pPr>
    </w:p>
    <w:p w14:paraId="4552EF5A">
      <w:pPr>
        <w:jc w:val="both"/>
        <w:outlineLvl w:val="0"/>
        <w:rPr>
          <w:rFonts w:hint="eastAsia" w:ascii="宋体" w:hAnsi="宋体" w:eastAsia="宋体" w:cs="宋体"/>
          <w:b/>
          <w:bCs/>
          <w:sz w:val="28"/>
          <w:highlight w:val="none"/>
          <w:lang w:eastAsia="zh-CN"/>
        </w:rPr>
      </w:pPr>
    </w:p>
    <w:p w14:paraId="3A27F316">
      <w:pPr>
        <w:pStyle w:val="54"/>
        <w:rPr>
          <w:rFonts w:hint="eastAsia"/>
          <w:highlight w:val="none"/>
          <w:lang w:eastAsia="zh-CN"/>
        </w:rPr>
      </w:pPr>
    </w:p>
    <w:p w14:paraId="33B1B9AC">
      <w:pPr>
        <w:jc w:val="center"/>
        <w:outlineLvl w:val="0"/>
        <w:rPr>
          <w:rFonts w:hint="eastAsia" w:ascii="宋体" w:hAnsi="宋体" w:eastAsia="宋体" w:cs="宋体"/>
          <w:b/>
          <w:bCs/>
          <w:sz w:val="28"/>
          <w:highlight w:val="none"/>
          <w:lang w:eastAsia="zh-CN"/>
        </w:rPr>
      </w:pPr>
    </w:p>
    <w:p w14:paraId="2FD16E70">
      <w:pPr>
        <w:jc w:val="center"/>
        <w:outlineLvl w:val="0"/>
        <w:rPr>
          <w:rFonts w:hint="eastAsia" w:ascii="宋体" w:hAnsi="宋体" w:eastAsia="宋体" w:cs="宋体"/>
          <w:b/>
          <w:bCs/>
          <w:sz w:val="28"/>
          <w:highlight w:val="none"/>
          <w:lang w:eastAsia="zh-CN"/>
        </w:rPr>
      </w:pPr>
    </w:p>
    <w:p w14:paraId="1C2F2CD4">
      <w:pPr>
        <w:jc w:val="center"/>
        <w:outlineLvl w:val="0"/>
        <w:rPr>
          <w:rFonts w:hint="eastAsia" w:ascii="宋体" w:hAnsi="宋体" w:eastAsia="宋体" w:cs="宋体"/>
          <w:b/>
          <w:bCs/>
          <w:sz w:val="28"/>
          <w:highlight w:val="none"/>
        </w:rPr>
      </w:pPr>
      <w:bookmarkStart w:id="1316" w:name="_Toc6747"/>
      <w:bookmarkStart w:id="1317" w:name="_Toc23509"/>
      <w:r>
        <w:rPr>
          <w:rFonts w:hint="eastAsia" w:ascii="宋体" w:hAnsi="宋体" w:eastAsia="宋体" w:cs="宋体"/>
          <w:b/>
          <w:bCs/>
          <w:sz w:val="28"/>
          <w:highlight w:val="none"/>
          <w:lang w:eastAsia="zh-CN"/>
        </w:rPr>
        <w:t>五、</w:t>
      </w:r>
      <w:r>
        <w:rPr>
          <w:rFonts w:hint="eastAsia" w:ascii="宋体" w:hAnsi="宋体" w:eastAsia="宋体" w:cs="宋体"/>
          <w:b/>
          <w:bCs/>
          <w:sz w:val="28"/>
          <w:highlight w:val="none"/>
        </w:rPr>
        <w:t>项目</w:t>
      </w:r>
      <w:r>
        <w:rPr>
          <w:rFonts w:hint="eastAsia" w:ascii="宋体" w:hAnsi="宋体" w:eastAsia="宋体" w:cs="宋体"/>
          <w:b/>
          <w:bCs/>
          <w:sz w:val="28"/>
          <w:highlight w:val="none"/>
          <w:lang w:eastAsia="zh-CN"/>
        </w:rPr>
        <w:t>服务</w:t>
      </w:r>
      <w:r>
        <w:rPr>
          <w:rFonts w:hint="eastAsia" w:ascii="宋体" w:hAnsi="宋体" w:eastAsia="宋体" w:cs="宋体"/>
          <w:b/>
          <w:bCs/>
          <w:sz w:val="28"/>
          <w:highlight w:val="none"/>
        </w:rPr>
        <w:t>方案</w:t>
      </w:r>
      <w:bookmarkEnd w:id="1309"/>
      <w:bookmarkEnd w:id="1310"/>
      <w:bookmarkEnd w:id="1311"/>
      <w:bookmarkEnd w:id="1312"/>
      <w:bookmarkEnd w:id="1313"/>
      <w:bookmarkEnd w:id="1314"/>
      <w:bookmarkEnd w:id="1315"/>
      <w:bookmarkEnd w:id="1316"/>
      <w:bookmarkEnd w:id="1317"/>
    </w:p>
    <w:p w14:paraId="6D3908F6">
      <w:pPr>
        <w:pStyle w:val="8"/>
        <w:rPr>
          <w:rFonts w:hint="eastAsia"/>
          <w:color w:val="auto"/>
          <w:highlight w:val="none"/>
        </w:rPr>
      </w:pPr>
    </w:p>
    <w:p w14:paraId="6B13FA0C">
      <w:pPr>
        <w:pStyle w:val="22"/>
        <w:shd w:val="clear" w:color="auto" w:fill="auto"/>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（服务方案具体从</w:t>
      </w:r>
      <w:r>
        <w:rPr>
          <w:rFonts w:hint="eastAsia" w:ascii="宋体" w:hAnsi="宋体" w:eastAsia="宋体" w:cs="宋体"/>
          <w:kern w:val="2"/>
          <w:sz w:val="24"/>
          <w:szCs w:val="24"/>
          <w:highlight w:val="none"/>
          <w:lang w:val="zh-TW" w:eastAsia="zh-CN" w:bidi="ar-SA"/>
        </w:rPr>
        <w:t>项目实施计划</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包装、运输制度</w:t>
      </w:r>
      <w:r>
        <w:rPr>
          <w:rFonts w:hint="eastAsia" w:ascii="宋体" w:hAnsi="宋体" w:eastAsia="宋体" w:cs="宋体"/>
          <w:color w:val="auto"/>
          <w:sz w:val="24"/>
          <w:szCs w:val="24"/>
          <w:highlight w:val="none"/>
          <w:lang w:val="en-US" w:eastAsia="zh-CN"/>
        </w:rPr>
        <w:t>、</w:t>
      </w:r>
      <w:r>
        <w:rPr>
          <w:rFonts w:hint="eastAsia" w:ascii="宋体" w:hAnsi="宋体" w:eastAsia="宋体" w:cs="宋体"/>
          <w:sz w:val="24"/>
          <w:szCs w:val="24"/>
          <w:highlight w:val="none"/>
          <w:lang w:val="en-US" w:eastAsia="zh-CN"/>
        </w:rPr>
        <w:t>进度保证措施、质量保证措施、应急保障方案</w:t>
      </w:r>
      <w:r>
        <w:rPr>
          <w:rFonts w:hint="eastAsia" w:ascii="宋体" w:hAnsi="宋体" w:eastAsia="宋体" w:cs="宋体"/>
          <w:color w:val="auto"/>
          <w:sz w:val="24"/>
          <w:szCs w:val="24"/>
          <w:highlight w:val="none"/>
          <w:lang w:val="en-US" w:eastAsia="zh-CN"/>
        </w:rPr>
        <w:t>等多个方面分别说明，</w:t>
      </w:r>
      <w:r>
        <w:rPr>
          <w:rFonts w:hint="eastAsia" w:ascii="宋体" w:hAnsi="宋体" w:eastAsia="宋体" w:cs="宋体"/>
          <w:color w:val="auto"/>
          <w:sz w:val="24"/>
          <w:szCs w:val="24"/>
          <w:highlight w:val="none"/>
          <w:lang w:eastAsia="zh-CN"/>
        </w:rPr>
        <w:t>格式自拟）</w:t>
      </w:r>
    </w:p>
    <w:p w14:paraId="5AC78EFA">
      <w:pPr>
        <w:numPr>
          <w:ilvl w:val="0"/>
          <w:numId w:val="0"/>
        </w:numPr>
        <w:spacing w:line="360" w:lineRule="auto"/>
        <w:jc w:val="center"/>
        <w:rPr>
          <w:rFonts w:hint="eastAsia" w:ascii="宋体" w:hAnsi="宋体" w:eastAsia="宋体" w:cs="宋体"/>
          <w:b/>
          <w:bCs/>
          <w:sz w:val="32"/>
          <w:szCs w:val="32"/>
          <w:highlight w:val="none"/>
          <w:lang w:eastAsia="zh-CN"/>
        </w:rPr>
      </w:pPr>
    </w:p>
    <w:p w14:paraId="387D7416">
      <w:pPr>
        <w:numPr>
          <w:ilvl w:val="0"/>
          <w:numId w:val="0"/>
        </w:numPr>
        <w:spacing w:line="360" w:lineRule="auto"/>
        <w:jc w:val="center"/>
        <w:rPr>
          <w:rFonts w:hint="eastAsia" w:ascii="宋体" w:hAnsi="宋体" w:eastAsia="宋体" w:cs="宋体"/>
          <w:b/>
          <w:bCs/>
          <w:sz w:val="32"/>
          <w:szCs w:val="32"/>
          <w:highlight w:val="none"/>
          <w:lang w:eastAsia="zh-CN"/>
        </w:rPr>
      </w:pPr>
    </w:p>
    <w:p w14:paraId="363F6DED">
      <w:pPr>
        <w:numPr>
          <w:ilvl w:val="0"/>
          <w:numId w:val="0"/>
        </w:numPr>
        <w:spacing w:line="360" w:lineRule="auto"/>
        <w:jc w:val="center"/>
        <w:rPr>
          <w:rFonts w:hint="eastAsia" w:ascii="宋体" w:hAnsi="宋体" w:eastAsia="宋体" w:cs="宋体"/>
          <w:b/>
          <w:bCs/>
          <w:sz w:val="32"/>
          <w:szCs w:val="32"/>
          <w:highlight w:val="none"/>
          <w:lang w:eastAsia="zh-CN"/>
        </w:rPr>
      </w:pPr>
    </w:p>
    <w:p w14:paraId="30E09AC7">
      <w:pPr>
        <w:numPr>
          <w:ilvl w:val="0"/>
          <w:numId w:val="0"/>
        </w:numPr>
        <w:spacing w:line="360" w:lineRule="auto"/>
        <w:jc w:val="center"/>
        <w:rPr>
          <w:rFonts w:hint="eastAsia" w:ascii="宋体" w:hAnsi="宋体" w:eastAsia="宋体" w:cs="宋体"/>
          <w:b/>
          <w:bCs/>
          <w:sz w:val="32"/>
          <w:szCs w:val="32"/>
          <w:highlight w:val="none"/>
          <w:lang w:eastAsia="zh-CN"/>
        </w:rPr>
      </w:pPr>
    </w:p>
    <w:p w14:paraId="0993F26E">
      <w:pPr>
        <w:numPr>
          <w:ilvl w:val="0"/>
          <w:numId w:val="0"/>
        </w:numPr>
        <w:spacing w:line="360" w:lineRule="auto"/>
        <w:jc w:val="center"/>
        <w:rPr>
          <w:rFonts w:hint="eastAsia" w:ascii="宋体" w:hAnsi="宋体" w:eastAsia="宋体" w:cs="宋体"/>
          <w:b/>
          <w:bCs/>
          <w:sz w:val="32"/>
          <w:szCs w:val="32"/>
          <w:highlight w:val="none"/>
          <w:lang w:eastAsia="zh-CN"/>
        </w:rPr>
      </w:pPr>
    </w:p>
    <w:p w14:paraId="4E225D22">
      <w:pPr>
        <w:numPr>
          <w:ilvl w:val="0"/>
          <w:numId w:val="0"/>
        </w:numPr>
        <w:spacing w:line="360" w:lineRule="auto"/>
        <w:jc w:val="center"/>
        <w:rPr>
          <w:rFonts w:hint="eastAsia" w:ascii="宋体" w:hAnsi="宋体" w:eastAsia="宋体" w:cs="宋体"/>
          <w:b/>
          <w:bCs/>
          <w:sz w:val="32"/>
          <w:szCs w:val="32"/>
          <w:highlight w:val="none"/>
          <w:lang w:eastAsia="zh-CN"/>
        </w:rPr>
      </w:pPr>
    </w:p>
    <w:p w14:paraId="1B196823">
      <w:pPr>
        <w:numPr>
          <w:ilvl w:val="0"/>
          <w:numId w:val="0"/>
        </w:numPr>
        <w:spacing w:line="360" w:lineRule="auto"/>
        <w:jc w:val="center"/>
        <w:rPr>
          <w:rFonts w:hint="eastAsia" w:ascii="宋体" w:hAnsi="宋体" w:eastAsia="宋体" w:cs="宋体"/>
          <w:b/>
          <w:bCs/>
          <w:sz w:val="32"/>
          <w:szCs w:val="32"/>
          <w:highlight w:val="none"/>
          <w:lang w:eastAsia="zh-CN"/>
        </w:rPr>
      </w:pPr>
    </w:p>
    <w:p w14:paraId="29A5F9DA">
      <w:pPr>
        <w:numPr>
          <w:ilvl w:val="0"/>
          <w:numId w:val="0"/>
        </w:numPr>
        <w:spacing w:line="360" w:lineRule="auto"/>
        <w:jc w:val="center"/>
        <w:rPr>
          <w:rFonts w:hint="eastAsia" w:ascii="宋体" w:hAnsi="宋体" w:eastAsia="宋体" w:cs="宋体"/>
          <w:b/>
          <w:bCs/>
          <w:sz w:val="32"/>
          <w:szCs w:val="32"/>
          <w:highlight w:val="none"/>
          <w:lang w:eastAsia="zh-CN"/>
        </w:rPr>
      </w:pPr>
    </w:p>
    <w:p w14:paraId="7CCBDABF">
      <w:pPr>
        <w:numPr>
          <w:ilvl w:val="0"/>
          <w:numId w:val="0"/>
        </w:numPr>
        <w:spacing w:line="360" w:lineRule="auto"/>
        <w:jc w:val="center"/>
        <w:rPr>
          <w:rFonts w:hint="eastAsia" w:ascii="宋体" w:hAnsi="宋体" w:eastAsia="宋体" w:cs="宋体"/>
          <w:b/>
          <w:bCs/>
          <w:sz w:val="32"/>
          <w:szCs w:val="32"/>
          <w:highlight w:val="none"/>
          <w:lang w:eastAsia="zh-CN"/>
        </w:rPr>
      </w:pPr>
    </w:p>
    <w:p w14:paraId="060273CE">
      <w:pPr>
        <w:numPr>
          <w:ilvl w:val="0"/>
          <w:numId w:val="0"/>
        </w:numPr>
        <w:spacing w:line="360" w:lineRule="auto"/>
        <w:jc w:val="center"/>
        <w:rPr>
          <w:rFonts w:hint="eastAsia" w:ascii="宋体" w:hAnsi="宋体" w:eastAsia="宋体" w:cs="宋体"/>
          <w:b/>
          <w:bCs/>
          <w:sz w:val="32"/>
          <w:szCs w:val="32"/>
          <w:highlight w:val="none"/>
          <w:lang w:eastAsia="zh-CN"/>
        </w:rPr>
      </w:pPr>
    </w:p>
    <w:p w14:paraId="1863D9E7">
      <w:pPr>
        <w:numPr>
          <w:ilvl w:val="0"/>
          <w:numId w:val="0"/>
        </w:numPr>
        <w:spacing w:line="360" w:lineRule="auto"/>
        <w:jc w:val="center"/>
        <w:rPr>
          <w:rFonts w:hint="eastAsia" w:ascii="宋体" w:hAnsi="宋体" w:eastAsia="宋体" w:cs="宋体"/>
          <w:b/>
          <w:bCs/>
          <w:sz w:val="32"/>
          <w:szCs w:val="32"/>
          <w:highlight w:val="none"/>
          <w:lang w:eastAsia="zh-CN"/>
        </w:rPr>
      </w:pPr>
    </w:p>
    <w:p w14:paraId="6057957E">
      <w:pPr>
        <w:numPr>
          <w:ilvl w:val="0"/>
          <w:numId w:val="0"/>
        </w:numPr>
        <w:spacing w:line="360" w:lineRule="auto"/>
        <w:jc w:val="center"/>
        <w:rPr>
          <w:rFonts w:hint="eastAsia" w:ascii="宋体" w:hAnsi="宋体" w:eastAsia="宋体" w:cs="宋体"/>
          <w:b/>
          <w:bCs/>
          <w:sz w:val="32"/>
          <w:szCs w:val="32"/>
          <w:highlight w:val="none"/>
          <w:lang w:eastAsia="zh-CN"/>
        </w:rPr>
      </w:pPr>
    </w:p>
    <w:p w14:paraId="277A3A81">
      <w:pPr>
        <w:numPr>
          <w:ilvl w:val="0"/>
          <w:numId w:val="0"/>
        </w:numPr>
        <w:spacing w:line="360" w:lineRule="auto"/>
        <w:jc w:val="center"/>
        <w:rPr>
          <w:rFonts w:hint="eastAsia" w:ascii="宋体" w:hAnsi="宋体" w:eastAsia="宋体" w:cs="宋体"/>
          <w:b/>
          <w:bCs/>
          <w:sz w:val="32"/>
          <w:szCs w:val="32"/>
          <w:highlight w:val="none"/>
          <w:lang w:eastAsia="zh-CN"/>
        </w:rPr>
      </w:pPr>
    </w:p>
    <w:p w14:paraId="22B620D4">
      <w:pPr>
        <w:jc w:val="both"/>
        <w:outlineLvl w:val="0"/>
        <w:rPr>
          <w:rFonts w:hint="eastAsia" w:ascii="宋体" w:hAnsi="宋体" w:eastAsia="宋体" w:cs="宋体"/>
          <w:b/>
          <w:bCs/>
          <w:sz w:val="28"/>
          <w:highlight w:val="none"/>
          <w:lang w:eastAsia="zh-CN"/>
        </w:rPr>
      </w:pPr>
    </w:p>
    <w:p w14:paraId="0C31991A">
      <w:pPr>
        <w:jc w:val="center"/>
        <w:outlineLvl w:val="0"/>
        <w:rPr>
          <w:rFonts w:hint="eastAsia" w:ascii="宋体" w:hAnsi="宋体" w:eastAsia="宋体" w:cs="宋体"/>
          <w:b/>
          <w:bCs/>
          <w:sz w:val="28"/>
          <w:highlight w:val="none"/>
          <w:lang w:eastAsia="zh-CN"/>
        </w:rPr>
      </w:pPr>
    </w:p>
    <w:p w14:paraId="7133F02D">
      <w:pPr>
        <w:jc w:val="center"/>
        <w:outlineLvl w:val="0"/>
        <w:rPr>
          <w:rFonts w:hint="eastAsia" w:ascii="宋体" w:hAnsi="宋体" w:eastAsia="宋体" w:cs="宋体"/>
          <w:b/>
          <w:bCs/>
          <w:sz w:val="28"/>
          <w:highlight w:val="none"/>
          <w:lang w:eastAsia="zh-CN"/>
        </w:rPr>
      </w:pPr>
    </w:p>
    <w:p w14:paraId="67B45419">
      <w:pPr>
        <w:jc w:val="center"/>
        <w:outlineLvl w:val="0"/>
        <w:rPr>
          <w:rFonts w:hint="eastAsia" w:ascii="宋体" w:hAnsi="宋体" w:eastAsia="宋体" w:cs="宋体"/>
          <w:b/>
          <w:bCs/>
          <w:sz w:val="28"/>
          <w:highlight w:val="none"/>
          <w:lang w:eastAsia="zh-CN"/>
        </w:rPr>
      </w:pPr>
    </w:p>
    <w:p w14:paraId="7A2F9A78">
      <w:pPr>
        <w:jc w:val="center"/>
        <w:outlineLvl w:val="0"/>
        <w:rPr>
          <w:rFonts w:hint="eastAsia" w:ascii="宋体" w:hAnsi="宋体" w:eastAsia="宋体" w:cs="宋体"/>
          <w:b/>
          <w:bCs/>
          <w:sz w:val="28"/>
          <w:highlight w:val="none"/>
          <w:lang w:eastAsia="zh-CN"/>
        </w:rPr>
      </w:pPr>
    </w:p>
    <w:p w14:paraId="45B4A604">
      <w:pPr>
        <w:jc w:val="center"/>
        <w:outlineLvl w:val="0"/>
        <w:rPr>
          <w:rFonts w:hint="eastAsia" w:ascii="宋体" w:hAnsi="宋体" w:eastAsia="宋体" w:cs="宋体"/>
          <w:b/>
          <w:bCs/>
          <w:sz w:val="28"/>
          <w:highlight w:val="none"/>
          <w:lang w:eastAsia="zh-CN"/>
        </w:rPr>
      </w:pPr>
    </w:p>
    <w:p w14:paraId="04D86D28">
      <w:pPr>
        <w:jc w:val="center"/>
        <w:outlineLvl w:val="0"/>
        <w:rPr>
          <w:rFonts w:hint="eastAsia" w:ascii="宋体" w:hAnsi="宋体" w:cs="宋体"/>
          <w:b/>
          <w:sz w:val="24"/>
          <w:highlight w:val="none"/>
        </w:rPr>
      </w:pPr>
      <w:bookmarkStart w:id="1318" w:name="_Toc2443"/>
      <w:bookmarkStart w:id="1319" w:name="_Toc30043"/>
      <w:r>
        <w:rPr>
          <w:rFonts w:hint="eastAsia" w:ascii="宋体" w:hAnsi="宋体" w:eastAsia="宋体" w:cs="宋体"/>
          <w:b/>
          <w:bCs/>
          <w:sz w:val="28"/>
          <w:highlight w:val="none"/>
          <w:lang w:eastAsia="zh-CN"/>
        </w:rPr>
        <w:t>六、资格审查资料</w:t>
      </w:r>
      <w:bookmarkEnd w:id="1304"/>
      <w:bookmarkEnd w:id="1305"/>
      <w:bookmarkEnd w:id="1306"/>
      <w:bookmarkEnd w:id="1318"/>
      <w:bookmarkEnd w:id="1319"/>
    </w:p>
    <w:p w14:paraId="0766AE96">
      <w:pPr>
        <w:spacing w:line="360" w:lineRule="auto"/>
        <w:jc w:val="center"/>
        <w:rPr>
          <w:rFonts w:hint="eastAsia" w:ascii="宋体" w:hAnsi="宋体" w:cs="宋体"/>
          <w:b/>
          <w:bCs/>
          <w:sz w:val="24"/>
          <w:szCs w:val="24"/>
          <w:highlight w:val="none"/>
        </w:rPr>
      </w:pPr>
      <w:r>
        <w:rPr>
          <w:rFonts w:hint="eastAsia" w:ascii="宋体" w:hAnsi="宋体" w:cs="宋体"/>
          <w:b/>
          <w:sz w:val="24"/>
          <w:highlight w:val="none"/>
        </w:rPr>
        <w:t>基本情况表</w:t>
      </w:r>
    </w:p>
    <w:tbl>
      <w:tblPr>
        <w:tblStyle w:val="23"/>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9"/>
        <w:gridCol w:w="1271"/>
        <w:gridCol w:w="1838"/>
        <w:gridCol w:w="1272"/>
        <w:gridCol w:w="2169"/>
      </w:tblGrid>
      <w:tr w14:paraId="2A6FA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2589" w:type="dxa"/>
            <w:noWrap w:val="0"/>
            <w:vAlign w:val="center"/>
          </w:tcPr>
          <w:p w14:paraId="1CFE2321">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供应商名称</w:t>
            </w:r>
          </w:p>
        </w:tc>
        <w:tc>
          <w:tcPr>
            <w:tcW w:w="6550" w:type="dxa"/>
            <w:gridSpan w:val="4"/>
            <w:noWrap w:val="0"/>
            <w:vAlign w:val="center"/>
          </w:tcPr>
          <w:p w14:paraId="782DB596">
            <w:pPr>
              <w:autoSpaceDE w:val="0"/>
              <w:autoSpaceDN w:val="0"/>
              <w:adjustRightInd w:val="0"/>
              <w:spacing w:line="440" w:lineRule="exact"/>
              <w:jc w:val="center"/>
              <w:rPr>
                <w:rFonts w:hint="eastAsia" w:ascii="宋体" w:hAnsi="宋体" w:cs="宋体"/>
                <w:sz w:val="24"/>
                <w:highlight w:val="none"/>
              </w:rPr>
            </w:pPr>
          </w:p>
        </w:tc>
      </w:tr>
      <w:tr w14:paraId="2871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2589" w:type="dxa"/>
            <w:noWrap w:val="0"/>
            <w:vAlign w:val="center"/>
          </w:tcPr>
          <w:p w14:paraId="1EA06B7F">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注册资金</w:t>
            </w:r>
          </w:p>
        </w:tc>
        <w:tc>
          <w:tcPr>
            <w:tcW w:w="3109" w:type="dxa"/>
            <w:gridSpan w:val="2"/>
            <w:noWrap w:val="0"/>
            <w:vAlign w:val="center"/>
          </w:tcPr>
          <w:p w14:paraId="0506F2A9">
            <w:pPr>
              <w:autoSpaceDE w:val="0"/>
              <w:autoSpaceDN w:val="0"/>
              <w:adjustRightInd w:val="0"/>
              <w:spacing w:line="440" w:lineRule="exact"/>
              <w:jc w:val="center"/>
              <w:rPr>
                <w:rFonts w:hint="eastAsia" w:ascii="宋体" w:hAnsi="宋体" w:cs="宋体"/>
                <w:sz w:val="24"/>
                <w:highlight w:val="none"/>
              </w:rPr>
            </w:pPr>
          </w:p>
        </w:tc>
        <w:tc>
          <w:tcPr>
            <w:tcW w:w="1272" w:type="dxa"/>
            <w:noWrap w:val="0"/>
            <w:vAlign w:val="center"/>
          </w:tcPr>
          <w:p w14:paraId="38020411">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成立时间</w:t>
            </w:r>
          </w:p>
        </w:tc>
        <w:tc>
          <w:tcPr>
            <w:tcW w:w="2169" w:type="dxa"/>
            <w:noWrap w:val="0"/>
            <w:vAlign w:val="center"/>
          </w:tcPr>
          <w:p w14:paraId="455C5423">
            <w:pPr>
              <w:autoSpaceDE w:val="0"/>
              <w:autoSpaceDN w:val="0"/>
              <w:adjustRightInd w:val="0"/>
              <w:spacing w:line="440" w:lineRule="exact"/>
              <w:jc w:val="center"/>
              <w:rPr>
                <w:rFonts w:hint="eastAsia" w:ascii="宋体" w:hAnsi="宋体" w:cs="宋体"/>
                <w:sz w:val="24"/>
                <w:highlight w:val="none"/>
              </w:rPr>
            </w:pPr>
          </w:p>
        </w:tc>
      </w:tr>
      <w:tr w14:paraId="0DC6B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589" w:type="dxa"/>
            <w:noWrap w:val="0"/>
            <w:vAlign w:val="center"/>
          </w:tcPr>
          <w:p w14:paraId="7A5DAB79">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注册地址</w:t>
            </w:r>
          </w:p>
        </w:tc>
        <w:tc>
          <w:tcPr>
            <w:tcW w:w="6550" w:type="dxa"/>
            <w:gridSpan w:val="4"/>
            <w:noWrap w:val="0"/>
            <w:vAlign w:val="center"/>
          </w:tcPr>
          <w:p w14:paraId="7E0511D2">
            <w:pPr>
              <w:autoSpaceDE w:val="0"/>
              <w:autoSpaceDN w:val="0"/>
              <w:adjustRightInd w:val="0"/>
              <w:spacing w:line="440" w:lineRule="exact"/>
              <w:jc w:val="center"/>
              <w:rPr>
                <w:rFonts w:hint="eastAsia" w:ascii="宋体" w:hAnsi="宋体" w:cs="宋体"/>
                <w:sz w:val="24"/>
                <w:highlight w:val="none"/>
              </w:rPr>
            </w:pPr>
          </w:p>
        </w:tc>
      </w:tr>
      <w:tr w14:paraId="0A98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589" w:type="dxa"/>
            <w:noWrap w:val="0"/>
            <w:vAlign w:val="center"/>
          </w:tcPr>
          <w:p w14:paraId="799E8045">
            <w:pPr>
              <w:autoSpaceDE w:val="0"/>
              <w:autoSpaceDN w:val="0"/>
              <w:adjustRightInd w:val="0"/>
              <w:spacing w:line="440" w:lineRule="exact"/>
              <w:jc w:val="center"/>
              <w:rPr>
                <w:rFonts w:hint="eastAsia" w:ascii="宋体" w:hAnsi="宋体" w:eastAsia="宋体" w:cs="宋体"/>
                <w:sz w:val="24"/>
                <w:highlight w:val="none"/>
                <w:lang w:eastAsia="zh-CN"/>
              </w:rPr>
            </w:pPr>
            <w:r>
              <w:rPr>
                <w:rFonts w:hint="eastAsia" w:ascii="宋体" w:hAnsi="宋体" w:cs="宋体"/>
                <w:sz w:val="24"/>
                <w:highlight w:val="none"/>
                <w:lang w:eastAsia="zh-CN"/>
              </w:rPr>
              <w:t>组织机构代码</w:t>
            </w:r>
          </w:p>
        </w:tc>
        <w:tc>
          <w:tcPr>
            <w:tcW w:w="3109" w:type="dxa"/>
            <w:gridSpan w:val="2"/>
            <w:noWrap w:val="0"/>
            <w:vAlign w:val="center"/>
          </w:tcPr>
          <w:p w14:paraId="442C2448">
            <w:pPr>
              <w:autoSpaceDE w:val="0"/>
              <w:autoSpaceDN w:val="0"/>
              <w:adjustRightInd w:val="0"/>
              <w:spacing w:line="440" w:lineRule="exact"/>
              <w:jc w:val="center"/>
              <w:rPr>
                <w:rFonts w:hint="eastAsia" w:ascii="宋体" w:hAnsi="宋体" w:cs="宋体"/>
                <w:sz w:val="24"/>
                <w:highlight w:val="none"/>
              </w:rPr>
            </w:pPr>
          </w:p>
        </w:tc>
        <w:tc>
          <w:tcPr>
            <w:tcW w:w="1272" w:type="dxa"/>
            <w:noWrap w:val="0"/>
            <w:vAlign w:val="center"/>
          </w:tcPr>
          <w:p w14:paraId="5DC0DD29">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邮政编码</w:t>
            </w:r>
          </w:p>
        </w:tc>
        <w:tc>
          <w:tcPr>
            <w:tcW w:w="2169" w:type="dxa"/>
            <w:noWrap w:val="0"/>
            <w:vAlign w:val="center"/>
          </w:tcPr>
          <w:p w14:paraId="6A82442B">
            <w:pPr>
              <w:autoSpaceDE w:val="0"/>
              <w:autoSpaceDN w:val="0"/>
              <w:adjustRightInd w:val="0"/>
              <w:spacing w:line="440" w:lineRule="exact"/>
              <w:jc w:val="center"/>
              <w:rPr>
                <w:rFonts w:hint="eastAsia" w:ascii="宋体" w:hAnsi="宋体" w:cs="宋体"/>
                <w:sz w:val="24"/>
                <w:highlight w:val="none"/>
              </w:rPr>
            </w:pPr>
          </w:p>
        </w:tc>
      </w:tr>
      <w:tr w14:paraId="2BFFF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2589" w:type="dxa"/>
            <w:vMerge w:val="restart"/>
            <w:noWrap w:val="0"/>
            <w:vAlign w:val="center"/>
          </w:tcPr>
          <w:p w14:paraId="4D37376E">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联系方式</w:t>
            </w:r>
          </w:p>
        </w:tc>
        <w:tc>
          <w:tcPr>
            <w:tcW w:w="1271" w:type="dxa"/>
            <w:noWrap w:val="0"/>
            <w:vAlign w:val="center"/>
          </w:tcPr>
          <w:p w14:paraId="2A2E01D0">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联系人</w:t>
            </w:r>
          </w:p>
        </w:tc>
        <w:tc>
          <w:tcPr>
            <w:tcW w:w="1838" w:type="dxa"/>
            <w:noWrap w:val="0"/>
            <w:vAlign w:val="center"/>
          </w:tcPr>
          <w:p w14:paraId="714B53D9">
            <w:pPr>
              <w:autoSpaceDE w:val="0"/>
              <w:autoSpaceDN w:val="0"/>
              <w:adjustRightInd w:val="0"/>
              <w:spacing w:line="440" w:lineRule="exact"/>
              <w:jc w:val="center"/>
              <w:rPr>
                <w:rFonts w:hint="eastAsia" w:ascii="宋体" w:hAnsi="宋体" w:cs="宋体"/>
                <w:sz w:val="24"/>
                <w:highlight w:val="none"/>
              </w:rPr>
            </w:pPr>
          </w:p>
        </w:tc>
        <w:tc>
          <w:tcPr>
            <w:tcW w:w="1272" w:type="dxa"/>
            <w:noWrap w:val="0"/>
            <w:vAlign w:val="center"/>
          </w:tcPr>
          <w:p w14:paraId="5362507A">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电话</w:t>
            </w:r>
          </w:p>
        </w:tc>
        <w:tc>
          <w:tcPr>
            <w:tcW w:w="2169" w:type="dxa"/>
            <w:noWrap w:val="0"/>
            <w:vAlign w:val="center"/>
          </w:tcPr>
          <w:p w14:paraId="6B693FC6">
            <w:pPr>
              <w:autoSpaceDE w:val="0"/>
              <w:autoSpaceDN w:val="0"/>
              <w:adjustRightInd w:val="0"/>
              <w:spacing w:line="440" w:lineRule="exact"/>
              <w:jc w:val="center"/>
              <w:rPr>
                <w:rFonts w:hint="eastAsia" w:ascii="宋体" w:hAnsi="宋体" w:cs="宋体"/>
                <w:sz w:val="24"/>
                <w:highlight w:val="none"/>
              </w:rPr>
            </w:pPr>
          </w:p>
        </w:tc>
      </w:tr>
      <w:tr w14:paraId="22324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2589" w:type="dxa"/>
            <w:vMerge w:val="continue"/>
            <w:noWrap w:val="0"/>
            <w:vAlign w:val="center"/>
          </w:tcPr>
          <w:p w14:paraId="3460C996">
            <w:pPr>
              <w:autoSpaceDE w:val="0"/>
              <w:autoSpaceDN w:val="0"/>
              <w:adjustRightInd w:val="0"/>
              <w:spacing w:line="440" w:lineRule="exact"/>
              <w:jc w:val="center"/>
              <w:rPr>
                <w:rFonts w:hint="eastAsia" w:ascii="宋体" w:hAnsi="宋体" w:cs="宋体"/>
                <w:sz w:val="24"/>
                <w:highlight w:val="none"/>
              </w:rPr>
            </w:pPr>
          </w:p>
        </w:tc>
        <w:tc>
          <w:tcPr>
            <w:tcW w:w="1271" w:type="dxa"/>
            <w:noWrap w:val="0"/>
            <w:vAlign w:val="center"/>
          </w:tcPr>
          <w:p w14:paraId="7772BDFF">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传真</w:t>
            </w:r>
          </w:p>
        </w:tc>
        <w:tc>
          <w:tcPr>
            <w:tcW w:w="1838" w:type="dxa"/>
            <w:noWrap w:val="0"/>
            <w:vAlign w:val="center"/>
          </w:tcPr>
          <w:p w14:paraId="0ADAC6C2">
            <w:pPr>
              <w:autoSpaceDE w:val="0"/>
              <w:autoSpaceDN w:val="0"/>
              <w:adjustRightInd w:val="0"/>
              <w:spacing w:line="440" w:lineRule="exact"/>
              <w:jc w:val="center"/>
              <w:rPr>
                <w:rFonts w:hint="eastAsia" w:ascii="宋体" w:hAnsi="宋体" w:cs="宋体"/>
                <w:sz w:val="24"/>
                <w:highlight w:val="none"/>
              </w:rPr>
            </w:pPr>
          </w:p>
        </w:tc>
        <w:tc>
          <w:tcPr>
            <w:tcW w:w="1272" w:type="dxa"/>
            <w:noWrap w:val="0"/>
            <w:vAlign w:val="center"/>
          </w:tcPr>
          <w:p w14:paraId="6556C862">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网址</w:t>
            </w:r>
          </w:p>
        </w:tc>
        <w:tc>
          <w:tcPr>
            <w:tcW w:w="2169" w:type="dxa"/>
            <w:noWrap w:val="0"/>
            <w:vAlign w:val="center"/>
          </w:tcPr>
          <w:p w14:paraId="32A00EB1">
            <w:pPr>
              <w:autoSpaceDE w:val="0"/>
              <w:autoSpaceDN w:val="0"/>
              <w:adjustRightInd w:val="0"/>
              <w:spacing w:line="440" w:lineRule="exact"/>
              <w:jc w:val="center"/>
              <w:rPr>
                <w:rFonts w:hint="eastAsia" w:ascii="宋体" w:hAnsi="宋体" w:cs="宋体"/>
                <w:sz w:val="24"/>
                <w:highlight w:val="none"/>
              </w:rPr>
            </w:pPr>
          </w:p>
        </w:tc>
      </w:tr>
      <w:tr w14:paraId="19327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589" w:type="dxa"/>
            <w:noWrap w:val="0"/>
            <w:vAlign w:val="center"/>
          </w:tcPr>
          <w:p w14:paraId="4A93FE20">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法定代表人</w:t>
            </w:r>
          </w:p>
        </w:tc>
        <w:tc>
          <w:tcPr>
            <w:tcW w:w="1271" w:type="dxa"/>
            <w:noWrap w:val="0"/>
            <w:vAlign w:val="center"/>
          </w:tcPr>
          <w:p w14:paraId="58F95E32">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姓名</w:t>
            </w:r>
          </w:p>
        </w:tc>
        <w:tc>
          <w:tcPr>
            <w:tcW w:w="1838" w:type="dxa"/>
            <w:noWrap w:val="0"/>
            <w:vAlign w:val="center"/>
          </w:tcPr>
          <w:p w14:paraId="7EB65481">
            <w:pPr>
              <w:autoSpaceDE w:val="0"/>
              <w:autoSpaceDN w:val="0"/>
              <w:adjustRightInd w:val="0"/>
              <w:spacing w:line="440" w:lineRule="exact"/>
              <w:jc w:val="center"/>
              <w:rPr>
                <w:rFonts w:hint="eastAsia" w:ascii="宋体" w:hAnsi="宋体" w:cs="宋体"/>
                <w:sz w:val="24"/>
                <w:highlight w:val="none"/>
              </w:rPr>
            </w:pPr>
          </w:p>
        </w:tc>
        <w:tc>
          <w:tcPr>
            <w:tcW w:w="1272" w:type="dxa"/>
            <w:noWrap w:val="0"/>
            <w:vAlign w:val="center"/>
          </w:tcPr>
          <w:p w14:paraId="2E615405">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电话</w:t>
            </w:r>
          </w:p>
        </w:tc>
        <w:tc>
          <w:tcPr>
            <w:tcW w:w="2169" w:type="dxa"/>
            <w:noWrap w:val="0"/>
            <w:vAlign w:val="center"/>
          </w:tcPr>
          <w:p w14:paraId="4792EB72">
            <w:pPr>
              <w:autoSpaceDE w:val="0"/>
              <w:autoSpaceDN w:val="0"/>
              <w:adjustRightInd w:val="0"/>
              <w:spacing w:line="440" w:lineRule="exact"/>
              <w:jc w:val="center"/>
              <w:rPr>
                <w:rFonts w:hint="eastAsia" w:ascii="宋体" w:hAnsi="宋体" w:cs="宋体"/>
                <w:sz w:val="24"/>
                <w:highlight w:val="none"/>
              </w:rPr>
            </w:pPr>
          </w:p>
        </w:tc>
      </w:tr>
      <w:tr w14:paraId="77610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2589" w:type="dxa"/>
            <w:noWrap w:val="0"/>
            <w:vAlign w:val="center"/>
          </w:tcPr>
          <w:p w14:paraId="606FD148">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组织结构</w:t>
            </w:r>
          </w:p>
        </w:tc>
        <w:tc>
          <w:tcPr>
            <w:tcW w:w="6550" w:type="dxa"/>
            <w:gridSpan w:val="4"/>
            <w:noWrap w:val="0"/>
            <w:vAlign w:val="center"/>
          </w:tcPr>
          <w:p w14:paraId="5B9C6DA9">
            <w:pPr>
              <w:autoSpaceDE w:val="0"/>
              <w:autoSpaceDN w:val="0"/>
              <w:adjustRightInd w:val="0"/>
              <w:spacing w:line="440" w:lineRule="exact"/>
              <w:rPr>
                <w:rFonts w:hint="eastAsia" w:ascii="宋体" w:hAnsi="宋体" w:cs="宋体"/>
                <w:sz w:val="24"/>
                <w:highlight w:val="none"/>
              </w:rPr>
            </w:pPr>
          </w:p>
        </w:tc>
      </w:tr>
      <w:tr w14:paraId="72AB7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2589" w:type="dxa"/>
            <w:noWrap w:val="0"/>
            <w:vAlign w:val="center"/>
          </w:tcPr>
          <w:p w14:paraId="49083813">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近三年营业额</w:t>
            </w:r>
          </w:p>
        </w:tc>
        <w:tc>
          <w:tcPr>
            <w:tcW w:w="6550" w:type="dxa"/>
            <w:gridSpan w:val="4"/>
            <w:noWrap w:val="0"/>
            <w:vAlign w:val="center"/>
          </w:tcPr>
          <w:p w14:paraId="2B718E57">
            <w:pPr>
              <w:autoSpaceDE w:val="0"/>
              <w:autoSpaceDN w:val="0"/>
              <w:adjustRightInd w:val="0"/>
              <w:spacing w:line="440" w:lineRule="exact"/>
              <w:rPr>
                <w:rFonts w:hint="eastAsia" w:ascii="宋体" w:hAnsi="宋体" w:cs="宋体"/>
                <w:sz w:val="24"/>
                <w:highlight w:val="none"/>
              </w:rPr>
            </w:pPr>
          </w:p>
        </w:tc>
      </w:tr>
      <w:tr w14:paraId="45288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3" w:hRule="atLeast"/>
          <w:jc w:val="center"/>
        </w:trPr>
        <w:tc>
          <w:tcPr>
            <w:tcW w:w="2589" w:type="dxa"/>
            <w:noWrap w:val="0"/>
            <w:vAlign w:val="center"/>
          </w:tcPr>
          <w:p w14:paraId="4F54313C">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经营范围</w:t>
            </w:r>
          </w:p>
        </w:tc>
        <w:tc>
          <w:tcPr>
            <w:tcW w:w="6550" w:type="dxa"/>
            <w:gridSpan w:val="4"/>
            <w:noWrap w:val="0"/>
            <w:vAlign w:val="center"/>
          </w:tcPr>
          <w:p w14:paraId="0BA0F458">
            <w:pPr>
              <w:autoSpaceDE w:val="0"/>
              <w:autoSpaceDN w:val="0"/>
              <w:adjustRightInd w:val="0"/>
              <w:spacing w:line="440" w:lineRule="exact"/>
              <w:rPr>
                <w:rFonts w:hint="eastAsia" w:ascii="宋体" w:hAnsi="宋体" w:cs="宋体"/>
                <w:sz w:val="24"/>
                <w:highlight w:val="none"/>
              </w:rPr>
            </w:pPr>
          </w:p>
        </w:tc>
      </w:tr>
      <w:tr w14:paraId="1866E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2589" w:type="dxa"/>
            <w:noWrap w:val="0"/>
            <w:vAlign w:val="center"/>
          </w:tcPr>
          <w:p w14:paraId="2A3CE17F">
            <w:pPr>
              <w:adjustRightInd w:val="0"/>
              <w:snapToGrid w:val="0"/>
              <w:spacing w:line="440" w:lineRule="exact"/>
              <w:jc w:val="center"/>
              <w:rPr>
                <w:rFonts w:hint="eastAsia" w:ascii="宋体" w:hAnsi="宋体" w:cs="宋体"/>
                <w:sz w:val="24"/>
                <w:highlight w:val="none"/>
              </w:rPr>
            </w:pPr>
            <w:r>
              <w:rPr>
                <w:rFonts w:hint="eastAsia" w:ascii="宋体" w:hAnsi="宋体" w:cs="宋体"/>
                <w:sz w:val="24"/>
                <w:highlight w:val="none"/>
              </w:rPr>
              <w:t>备注</w:t>
            </w:r>
          </w:p>
        </w:tc>
        <w:tc>
          <w:tcPr>
            <w:tcW w:w="6550" w:type="dxa"/>
            <w:gridSpan w:val="4"/>
            <w:noWrap w:val="0"/>
            <w:vAlign w:val="center"/>
          </w:tcPr>
          <w:p w14:paraId="33F533B9">
            <w:pPr>
              <w:adjustRightInd w:val="0"/>
              <w:snapToGrid w:val="0"/>
              <w:spacing w:line="440" w:lineRule="exact"/>
              <w:jc w:val="center"/>
              <w:rPr>
                <w:rFonts w:hint="eastAsia" w:ascii="宋体" w:hAnsi="宋体" w:cs="宋体"/>
                <w:sz w:val="24"/>
                <w:highlight w:val="none"/>
              </w:rPr>
            </w:pPr>
          </w:p>
        </w:tc>
      </w:tr>
    </w:tbl>
    <w:p w14:paraId="5E8B81F6">
      <w:pPr>
        <w:pStyle w:val="21"/>
        <w:rPr>
          <w:rFonts w:hint="eastAsia" w:ascii="宋体" w:hAnsi="宋体" w:eastAsia="宋体" w:cs="宋体"/>
          <w:sz w:val="24"/>
          <w:szCs w:val="24"/>
          <w:highlight w:val="none"/>
        </w:rPr>
      </w:pPr>
    </w:p>
    <w:p w14:paraId="527F3E95">
      <w:pPr>
        <w:rPr>
          <w:rFonts w:hint="eastAsia" w:ascii="宋体" w:hAnsi="宋体" w:eastAsia="宋体" w:cs="宋体"/>
          <w:kern w:val="10"/>
          <w:sz w:val="24"/>
          <w:szCs w:val="24"/>
          <w:highlight w:val="none"/>
          <w:lang w:eastAsia="zh-CN"/>
        </w:rPr>
      </w:pPr>
      <w:bookmarkStart w:id="1320" w:name="_Toc8786"/>
      <w:bookmarkStart w:id="1321" w:name="_Toc15827"/>
      <w:bookmarkStart w:id="1322" w:name="_Toc29655"/>
      <w:bookmarkStart w:id="1323" w:name="_Toc27745"/>
      <w:bookmarkStart w:id="1324" w:name="_Toc11893"/>
      <w:bookmarkStart w:id="1325" w:name="_Toc19251"/>
      <w:bookmarkStart w:id="1326" w:name="_Toc31662_WPSOffice_Level1"/>
      <w:bookmarkStart w:id="1327" w:name="_Toc21412"/>
      <w:bookmarkStart w:id="1328" w:name="_Toc5057_WPSOffice_Level1"/>
      <w:bookmarkStart w:id="1329" w:name="_Toc2866"/>
      <w:bookmarkStart w:id="1330" w:name="_Toc2424"/>
      <w:bookmarkStart w:id="1331" w:name="_Toc25455"/>
      <w:r>
        <w:rPr>
          <w:rFonts w:hint="eastAsia" w:ascii="宋体" w:hAnsi="宋体" w:eastAsia="宋体" w:cs="宋体"/>
          <w:kern w:val="10"/>
          <w:sz w:val="24"/>
          <w:szCs w:val="24"/>
          <w:highlight w:val="none"/>
          <w:lang w:eastAsia="zh-CN"/>
        </w:rPr>
        <w:br w:type="page"/>
      </w:r>
    </w:p>
    <w:p w14:paraId="35DCED89">
      <w:pPr>
        <w:pageBreakBefore w:val="0"/>
        <w:kinsoku/>
        <w:overflowPunct/>
        <w:topLinePunct w:val="0"/>
        <w:bidi w:val="0"/>
        <w:spacing w:line="360" w:lineRule="auto"/>
        <w:ind w:firstLine="200"/>
        <w:outlineLvl w:val="9"/>
        <w:rPr>
          <w:rFonts w:hint="eastAsia" w:ascii="宋体" w:hAnsi="宋体" w:eastAsia="宋体" w:cs="宋体"/>
          <w:kern w:val="10"/>
          <w:sz w:val="24"/>
          <w:szCs w:val="24"/>
          <w:highlight w:val="none"/>
        </w:rPr>
      </w:pPr>
      <w:r>
        <w:rPr>
          <w:rFonts w:hint="eastAsia" w:ascii="宋体" w:hAnsi="宋体" w:eastAsia="宋体" w:cs="宋体"/>
          <w:kern w:val="10"/>
          <w:sz w:val="24"/>
          <w:szCs w:val="24"/>
          <w:highlight w:val="none"/>
          <w:lang w:eastAsia="zh-CN"/>
        </w:rPr>
        <w:t>后</w:t>
      </w:r>
      <w:r>
        <w:rPr>
          <w:rFonts w:hint="eastAsia" w:ascii="宋体" w:hAnsi="宋体" w:eastAsia="宋体" w:cs="宋体"/>
          <w:kern w:val="10"/>
          <w:sz w:val="24"/>
          <w:szCs w:val="24"/>
          <w:highlight w:val="none"/>
        </w:rPr>
        <w:t>附以下资格审查资料：</w:t>
      </w:r>
    </w:p>
    <w:p w14:paraId="19415A6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ascii="宋体" w:hAnsi="宋体" w:eastAsia="宋体" w:cs="宋体"/>
          <w:color w:val="auto"/>
          <w:sz w:val="24"/>
          <w:szCs w:val="28"/>
          <w:highlight w:val="none"/>
          <w:lang w:val="en-US" w:eastAsia="zh-CN"/>
        </w:rPr>
        <w:t>1.供应商参加本次采购活动必须符合《中华人民共和国政府采购法》第二十二条的规定，需提供相应内容的承诺函。</w:t>
      </w:r>
    </w:p>
    <w:p w14:paraId="4D99366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2.</w:t>
      </w:r>
      <w:r>
        <w:rPr>
          <w:rFonts w:hint="eastAsia" w:ascii="宋体" w:hAnsi="宋体" w:eastAsia="宋体" w:cs="宋体"/>
          <w:sz w:val="24"/>
          <w:szCs w:val="24"/>
          <w:highlight w:val="none"/>
          <w:lang w:eastAsia="zh-CN"/>
        </w:rPr>
        <w:t>供应商须具备独立法人资格，具有有效的营业执照</w:t>
      </w:r>
      <w:r>
        <w:rPr>
          <w:rFonts w:hint="eastAsia" w:ascii="宋体" w:hAnsi="宋体" w:eastAsia="宋体" w:cs="宋体"/>
          <w:color w:val="auto"/>
          <w:sz w:val="24"/>
          <w:szCs w:val="28"/>
          <w:highlight w:val="none"/>
          <w:lang w:val="en-US" w:eastAsia="zh-CN"/>
        </w:rPr>
        <w:t>；</w:t>
      </w:r>
    </w:p>
    <w:p w14:paraId="6B53BE3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3.</w:t>
      </w:r>
      <w:r>
        <w:rPr>
          <w:rFonts w:hint="eastAsia" w:ascii="宋体" w:hAnsi="宋体" w:eastAsia="宋体" w:cs="宋体"/>
          <w:sz w:val="24"/>
          <w:szCs w:val="24"/>
          <w:highlight w:val="none"/>
          <w:lang w:eastAsia="zh-CN"/>
        </w:rPr>
        <w:t>供应商须自行出具本单位无商业贿赂及无不正当竞争行为的承诺书</w:t>
      </w:r>
      <w:r>
        <w:rPr>
          <w:rFonts w:hint="eastAsia"/>
          <w:sz w:val="24"/>
          <w:szCs w:val="24"/>
          <w:highlight w:val="none"/>
          <w:lang w:val="en-US" w:eastAsia="zh-CN"/>
        </w:rPr>
        <w:t>（承诺书格式自拟）</w:t>
      </w:r>
      <w:r>
        <w:rPr>
          <w:rFonts w:hint="eastAsia" w:ascii="宋体" w:hAnsi="宋体" w:eastAsia="宋体" w:cs="宋体"/>
          <w:color w:val="auto"/>
          <w:sz w:val="24"/>
          <w:szCs w:val="28"/>
          <w:highlight w:val="none"/>
          <w:lang w:val="en-US" w:eastAsia="zh-CN"/>
        </w:rPr>
        <w:t>；</w:t>
      </w:r>
    </w:p>
    <w:p w14:paraId="46ECB054">
      <w:pPr>
        <w:keepNext w:val="0"/>
        <w:keepLines w:val="0"/>
        <w:pageBreakBefore w:val="0"/>
        <w:widowControl/>
        <w:shd w:val="clear" w:color="auto" w:fill="auto"/>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highlight w:val="none"/>
          <w:lang w:val="en-US" w:eastAsia="zh-CN"/>
        </w:rPr>
      </w:pPr>
      <w:r>
        <w:rPr>
          <w:rFonts w:hint="eastAsia" w:ascii="宋体" w:hAnsi="宋体" w:eastAsia="宋体" w:cs="宋体"/>
          <w:sz w:val="24"/>
          <w:szCs w:val="28"/>
          <w:highlight w:val="none"/>
          <w:lang w:val="en-US" w:eastAsia="zh-CN"/>
        </w:rPr>
        <w:t>4.</w:t>
      </w:r>
      <w:r>
        <w:rPr>
          <w:rFonts w:hint="eastAsia" w:ascii="宋体" w:hAnsi="宋体" w:eastAsia="宋体" w:cs="宋体"/>
          <w:sz w:val="24"/>
          <w:szCs w:val="24"/>
          <w:highlight w:val="none"/>
          <w:lang w:val="en-US" w:eastAsia="zh-CN"/>
        </w:rPr>
        <w:t>根据</w:t>
      </w:r>
      <w:r>
        <w:rPr>
          <w:rFonts w:hint="eastAsia" w:ascii="宋体" w:hAnsi="宋体" w:eastAsia="宋体" w:cs="宋体"/>
          <w:sz w:val="24"/>
          <w:highlight w:val="none"/>
          <w:lang w:val="en-US" w:eastAsia="zh-CN"/>
        </w:rPr>
        <w:t>《关于在政府采购活动中查询及使用信用记录有关问题的通知》(财库[2016]125号)和豫财购【2016】15号的规定，对列入失信被执行人、重大税收违法失信主体、政府采购严重违法失信行为记录名单的</w:t>
      </w:r>
      <w:r>
        <w:rPr>
          <w:rFonts w:hint="eastAsia" w:ascii="宋体" w:hAnsi="宋体" w:cs="宋体"/>
          <w:sz w:val="24"/>
          <w:highlight w:val="none"/>
          <w:lang w:val="en-US" w:eastAsia="zh-CN"/>
        </w:rPr>
        <w:t>供应商</w:t>
      </w:r>
      <w:r>
        <w:rPr>
          <w:rFonts w:hint="eastAsia" w:ascii="宋体" w:hAnsi="宋体" w:eastAsia="宋体" w:cs="宋体"/>
          <w:sz w:val="24"/>
          <w:highlight w:val="none"/>
          <w:lang w:val="en-US" w:eastAsia="zh-CN"/>
        </w:rPr>
        <w:t>，拒绝参与本项目采购活动；查询渠道：①中国执行信息公开网（http://zxgk.court.gov.cn）查询内容：失信被执行人；②“信用中国”网站（https://www.creditchina.gov.cn/zhuanxiangchaxun/），查询内容：重大税收违法失信主体；③中国政府采购网（www.ccgp.gov.cn）查询内容：政府采购严重违法失信行为记录名单。供应商须提供中国执行信息公开网查询页、信用中国查询页、中国政府采购网查询页的查询结果截图，</w:t>
      </w:r>
      <w:r>
        <w:rPr>
          <w:rFonts w:hint="eastAsia" w:ascii="宋体" w:hAnsi="宋体" w:eastAsia="宋体" w:cs="宋体"/>
          <w:b/>
          <w:bCs/>
          <w:sz w:val="24"/>
          <w:highlight w:val="none"/>
          <w:lang w:val="en-US" w:eastAsia="zh-CN"/>
        </w:rPr>
        <w:t>查询日期为本公告发布之日起，网站截图应含有日期且显示查询结果</w:t>
      </w:r>
      <w:r>
        <w:rPr>
          <w:rFonts w:hint="eastAsia" w:ascii="宋体" w:hAnsi="宋体" w:eastAsia="宋体" w:cs="宋体"/>
          <w:b/>
          <w:bCs/>
          <w:color w:val="auto"/>
          <w:sz w:val="24"/>
          <w:highlight w:val="none"/>
          <w:lang w:val="en-US" w:eastAsia="zh-CN"/>
        </w:rPr>
        <w:t>；</w:t>
      </w:r>
    </w:p>
    <w:p w14:paraId="047BA86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5.单位负责人为同一人或者存在直接控股、管理关系的不同供应商，不得同时参加本次采购活动，须提供国家企业信用信息公示系统（网址http://www.gsxt.gov.cn/）公示的企业信息网页截图，至少应包含股东信息，查询日期为本公告发布之日起，网站截图应含有日期且显示查询结果；</w:t>
      </w:r>
    </w:p>
    <w:p w14:paraId="0A35FB0F">
      <w:pPr>
        <w:pStyle w:val="21"/>
        <w:ind w:firstLine="480" w:firstLineChars="200"/>
        <w:rPr>
          <w:rFonts w:hint="default"/>
          <w:highlight w:val="none"/>
          <w:lang w:val="en-US"/>
        </w:rPr>
      </w:pPr>
      <w:r>
        <w:rPr>
          <w:rFonts w:hint="eastAsia" w:ascii="宋体" w:hAnsi="宋体" w:eastAsia="宋体" w:cs="宋体"/>
          <w:kern w:val="2"/>
          <w:sz w:val="24"/>
          <w:szCs w:val="22"/>
          <w:highlight w:val="none"/>
          <w:lang w:val="en-US" w:eastAsia="zh-CN" w:bidi="ar-SA"/>
        </w:rPr>
        <w:t>6.</w:t>
      </w:r>
      <w:r>
        <w:rPr>
          <w:rFonts w:hint="eastAsia" w:ascii="宋体" w:hAnsi="宋体" w:eastAsia="宋体" w:cs="宋体"/>
          <w:sz w:val="24"/>
          <w:szCs w:val="24"/>
          <w:highlight w:val="none"/>
        </w:rPr>
        <w:t>本项目不接受联合体磋商</w:t>
      </w:r>
      <w:r>
        <w:rPr>
          <w:rFonts w:hint="eastAsia" w:ascii="宋体" w:hAnsi="宋体" w:eastAsia="宋体" w:cs="宋体"/>
          <w:sz w:val="24"/>
          <w:szCs w:val="24"/>
          <w:highlight w:val="none"/>
          <w:lang w:eastAsia="zh-CN"/>
        </w:rPr>
        <w:t>，</w:t>
      </w:r>
      <w:r>
        <w:rPr>
          <w:rFonts w:hint="eastAsia"/>
          <w:sz w:val="24"/>
          <w:szCs w:val="24"/>
          <w:highlight w:val="none"/>
          <w:lang w:val="en-US" w:eastAsia="zh-CN"/>
        </w:rPr>
        <w:t>供应商须提供非联合体承诺书（承诺书格式自拟）</w:t>
      </w:r>
      <w:r>
        <w:rPr>
          <w:rFonts w:hint="eastAsia" w:ascii="宋体" w:hAnsi="宋体" w:eastAsia="宋体" w:cs="宋体"/>
          <w:kern w:val="2"/>
          <w:sz w:val="24"/>
          <w:szCs w:val="22"/>
          <w:highlight w:val="none"/>
          <w:lang w:val="en-US" w:eastAsia="zh-CN" w:bidi="ar-SA"/>
        </w:rPr>
        <w:t>。</w:t>
      </w:r>
    </w:p>
    <w:p w14:paraId="4A52180D">
      <w:pPr>
        <w:jc w:val="center"/>
        <w:outlineLvl w:val="0"/>
        <w:rPr>
          <w:rFonts w:hint="eastAsia" w:ascii="宋体" w:hAnsi="宋体" w:eastAsia="宋体" w:cs="宋体"/>
          <w:b/>
          <w:bCs/>
          <w:sz w:val="28"/>
          <w:highlight w:val="none"/>
          <w:lang w:eastAsia="zh-CN"/>
        </w:rPr>
      </w:pPr>
    </w:p>
    <w:p w14:paraId="78FC156E">
      <w:pPr>
        <w:jc w:val="center"/>
        <w:outlineLvl w:val="0"/>
        <w:rPr>
          <w:rFonts w:hint="eastAsia" w:ascii="宋体" w:hAnsi="宋体" w:eastAsia="宋体" w:cs="宋体"/>
          <w:b/>
          <w:bCs/>
          <w:sz w:val="28"/>
          <w:highlight w:val="none"/>
          <w:lang w:eastAsia="zh-CN"/>
        </w:rPr>
      </w:pPr>
    </w:p>
    <w:p w14:paraId="4AA850BB">
      <w:pPr>
        <w:jc w:val="center"/>
        <w:outlineLvl w:val="0"/>
        <w:rPr>
          <w:rFonts w:hint="eastAsia" w:ascii="宋体" w:hAnsi="宋体" w:eastAsia="宋体" w:cs="宋体"/>
          <w:b/>
          <w:bCs/>
          <w:sz w:val="28"/>
          <w:highlight w:val="none"/>
          <w:lang w:eastAsia="zh-CN"/>
        </w:rPr>
      </w:pPr>
    </w:p>
    <w:p w14:paraId="0E926460">
      <w:pPr>
        <w:jc w:val="both"/>
        <w:outlineLvl w:val="0"/>
        <w:rPr>
          <w:rFonts w:hint="eastAsia" w:ascii="宋体" w:hAnsi="宋体" w:eastAsia="宋体" w:cs="宋体"/>
          <w:b/>
          <w:bCs/>
          <w:sz w:val="28"/>
          <w:highlight w:val="none"/>
          <w:lang w:eastAsia="zh-CN"/>
        </w:rPr>
      </w:pPr>
      <w:bookmarkStart w:id="1332" w:name="_Toc15889"/>
    </w:p>
    <w:p w14:paraId="53593AEA">
      <w:pPr>
        <w:jc w:val="center"/>
        <w:outlineLvl w:val="0"/>
        <w:rPr>
          <w:rFonts w:hint="eastAsia" w:ascii="宋体" w:hAnsi="宋体" w:eastAsia="宋体" w:cs="宋体"/>
          <w:b/>
          <w:bCs/>
          <w:sz w:val="28"/>
          <w:highlight w:val="none"/>
          <w:lang w:eastAsia="zh-CN"/>
        </w:rPr>
      </w:pPr>
    </w:p>
    <w:p w14:paraId="4A92EA63">
      <w:pPr>
        <w:jc w:val="center"/>
        <w:outlineLvl w:val="0"/>
        <w:rPr>
          <w:rFonts w:hint="eastAsia" w:ascii="宋体" w:hAnsi="宋体" w:eastAsia="宋体" w:cs="宋体"/>
          <w:b/>
          <w:bCs/>
          <w:sz w:val="28"/>
          <w:highlight w:val="none"/>
          <w:lang w:eastAsia="zh-CN"/>
        </w:rPr>
      </w:pPr>
      <w:bookmarkStart w:id="1333" w:name="_Toc25248"/>
      <w:r>
        <w:rPr>
          <w:rFonts w:hint="eastAsia" w:ascii="宋体" w:hAnsi="宋体" w:eastAsia="宋体" w:cs="宋体"/>
          <w:b/>
          <w:bCs/>
          <w:sz w:val="28"/>
          <w:highlight w:val="none"/>
          <w:lang w:eastAsia="zh-CN"/>
        </w:rPr>
        <w:t>七、20</w:t>
      </w:r>
      <w:r>
        <w:rPr>
          <w:rFonts w:hint="eastAsia" w:ascii="宋体" w:hAnsi="宋体" w:eastAsia="宋体" w:cs="宋体"/>
          <w:b/>
          <w:bCs/>
          <w:sz w:val="28"/>
          <w:highlight w:val="none"/>
          <w:lang w:val="en-US" w:eastAsia="zh-CN"/>
        </w:rPr>
        <w:t>22</w:t>
      </w:r>
      <w:r>
        <w:rPr>
          <w:rFonts w:hint="eastAsia" w:ascii="宋体" w:hAnsi="宋体" w:eastAsia="宋体" w:cs="宋体"/>
          <w:b/>
          <w:bCs/>
          <w:sz w:val="28"/>
          <w:highlight w:val="none"/>
          <w:lang w:eastAsia="zh-CN"/>
        </w:rPr>
        <w:t>年1月1日以来同类项目业绩情况表</w:t>
      </w:r>
      <w:bookmarkEnd w:id="1320"/>
      <w:bookmarkEnd w:id="1321"/>
      <w:bookmarkEnd w:id="1322"/>
      <w:bookmarkEnd w:id="1323"/>
      <w:bookmarkEnd w:id="1324"/>
      <w:bookmarkEnd w:id="1325"/>
      <w:bookmarkEnd w:id="1326"/>
      <w:bookmarkEnd w:id="1327"/>
      <w:bookmarkEnd w:id="1328"/>
      <w:bookmarkEnd w:id="1332"/>
      <w:bookmarkEnd w:id="1333"/>
    </w:p>
    <w:p w14:paraId="0D29BBD6">
      <w:pPr>
        <w:shd w:val="clear" w:color="auto" w:fill="auto"/>
        <w:rPr>
          <w:rFonts w:hint="eastAsia" w:ascii="宋体" w:hAnsi="宋体" w:cs="宋体"/>
          <w:color w:val="auto"/>
          <w:sz w:val="24"/>
          <w:szCs w:val="24"/>
          <w:highlight w:val="none"/>
        </w:rPr>
      </w:pPr>
    </w:p>
    <w:tbl>
      <w:tblPr>
        <w:tblStyle w:val="23"/>
        <w:tblW w:w="9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732"/>
        <w:gridCol w:w="1295"/>
        <w:gridCol w:w="1560"/>
        <w:gridCol w:w="1417"/>
        <w:gridCol w:w="915"/>
        <w:gridCol w:w="1310"/>
      </w:tblGrid>
      <w:tr w14:paraId="2BA70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73" w:type="dxa"/>
            <w:noWrap w:val="0"/>
            <w:vAlign w:val="center"/>
          </w:tcPr>
          <w:p w14:paraId="3F3DF07E">
            <w:pPr>
              <w:shd w:val="clear" w:color="auto" w:fill="auto"/>
              <w:autoSpaceDE w:val="0"/>
              <w:autoSpaceDN w:val="0"/>
              <w:adjustRightInd w:val="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序号</w:t>
            </w:r>
          </w:p>
        </w:tc>
        <w:tc>
          <w:tcPr>
            <w:tcW w:w="1732" w:type="dxa"/>
            <w:noWrap w:val="0"/>
            <w:vAlign w:val="center"/>
          </w:tcPr>
          <w:p w14:paraId="108B8D1C">
            <w:pPr>
              <w:shd w:val="clear" w:color="auto" w:fill="auto"/>
              <w:autoSpaceDE w:val="0"/>
              <w:autoSpaceDN w:val="0"/>
              <w:adjustRightInd w:val="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项目名称</w:t>
            </w:r>
          </w:p>
        </w:tc>
        <w:tc>
          <w:tcPr>
            <w:tcW w:w="1295" w:type="dxa"/>
            <w:noWrap w:val="0"/>
            <w:vAlign w:val="center"/>
          </w:tcPr>
          <w:p w14:paraId="063CD1DB">
            <w:pPr>
              <w:shd w:val="clear" w:color="auto" w:fill="auto"/>
              <w:autoSpaceDE w:val="0"/>
              <w:autoSpaceDN w:val="0"/>
              <w:adjustRightInd w:val="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合同金额（元）</w:t>
            </w:r>
          </w:p>
        </w:tc>
        <w:tc>
          <w:tcPr>
            <w:tcW w:w="1560" w:type="dxa"/>
            <w:noWrap w:val="0"/>
            <w:vAlign w:val="center"/>
          </w:tcPr>
          <w:p w14:paraId="1A1BD721">
            <w:pPr>
              <w:shd w:val="clear" w:color="auto" w:fill="auto"/>
              <w:autoSpaceDE w:val="0"/>
              <w:autoSpaceDN w:val="0"/>
              <w:adjustRightInd w:val="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合同签订时间</w:t>
            </w:r>
          </w:p>
        </w:tc>
        <w:tc>
          <w:tcPr>
            <w:tcW w:w="1417" w:type="dxa"/>
            <w:noWrap w:val="0"/>
            <w:vAlign w:val="center"/>
          </w:tcPr>
          <w:p w14:paraId="50AC7D9E">
            <w:pPr>
              <w:shd w:val="clear" w:color="auto" w:fill="auto"/>
              <w:autoSpaceDE w:val="0"/>
              <w:autoSpaceDN w:val="0"/>
              <w:adjustRightInd w:val="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项目单位</w:t>
            </w:r>
          </w:p>
          <w:p w14:paraId="22A9CAFD">
            <w:pPr>
              <w:shd w:val="clear" w:color="auto" w:fill="auto"/>
              <w:autoSpaceDE w:val="0"/>
              <w:autoSpaceDN w:val="0"/>
              <w:adjustRightInd w:val="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（甲方）名称</w:t>
            </w:r>
          </w:p>
        </w:tc>
        <w:tc>
          <w:tcPr>
            <w:tcW w:w="915" w:type="dxa"/>
            <w:noWrap w:val="0"/>
            <w:vAlign w:val="center"/>
          </w:tcPr>
          <w:p w14:paraId="3661D18C">
            <w:pPr>
              <w:shd w:val="clear" w:color="auto" w:fill="auto"/>
              <w:autoSpaceDE w:val="0"/>
              <w:autoSpaceDN w:val="0"/>
              <w:adjustRightInd w:val="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联系人</w:t>
            </w:r>
          </w:p>
        </w:tc>
        <w:tc>
          <w:tcPr>
            <w:tcW w:w="1310" w:type="dxa"/>
            <w:noWrap w:val="0"/>
            <w:vAlign w:val="center"/>
          </w:tcPr>
          <w:p w14:paraId="7B0D7710">
            <w:pPr>
              <w:shd w:val="clear" w:color="auto" w:fill="auto"/>
              <w:autoSpaceDE w:val="0"/>
              <w:autoSpaceDN w:val="0"/>
              <w:adjustRightInd w:val="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联系人</w:t>
            </w:r>
          </w:p>
          <w:p w14:paraId="3268FCC9">
            <w:pPr>
              <w:shd w:val="clear" w:color="auto" w:fill="auto"/>
              <w:autoSpaceDE w:val="0"/>
              <w:autoSpaceDN w:val="0"/>
              <w:adjustRightInd w:val="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电话号码</w:t>
            </w:r>
          </w:p>
        </w:tc>
      </w:tr>
      <w:tr w14:paraId="6763A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744C0461">
            <w:pPr>
              <w:shd w:val="clear" w:color="auto" w:fill="auto"/>
              <w:autoSpaceDE w:val="0"/>
              <w:autoSpaceDN w:val="0"/>
              <w:adjustRightInd w:val="0"/>
              <w:rPr>
                <w:rFonts w:hint="eastAsia" w:ascii="宋体" w:hAnsi="宋体" w:cs="宋体"/>
                <w:bCs/>
                <w:color w:val="auto"/>
                <w:w w:val="90"/>
                <w:sz w:val="24"/>
                <w:szCs w:val="24"/>
                <w:highlight w:val="none"/>
              </w:rPr>
            </w:pPr>
          </w:p>
        </w:tc>
        <w:tc>
          <w:tcPr>
            <w:tcW w:w="1732" w:type="dxa"/>
            <w:noWrap w:val="0"/>
            <w:vAlign w:val="center"/>
          </w:tcPr>
          <w:p w14:paraId="0341BC91">
            <w:pPr>
              <w:shd w:val="clear" w:color="auto" w:fill="auto"/>
              <w:autoSpaceDE w:val="0"/>
              <w:autoSpaceDN w:val="0"/>
              <w:adjustRightInd w:val="0"/>
              <w:rPr>
                <w:rFonts w:hint="eastAsia" w:ascii="宋体" w:hAnsi="宋体" w:cs="宋体"/>
                <w:bCs/>
                <w:color w:val="auto"/>
                <w:w w:val="90"/>
                <w:sz w:val="24"/>
                <w:szCs w:val="24"/>
                <w:highlight w:val="none"/>
              </w:rPr>
            </w:pPr>
          </w:p>
        </w:tc>
        <w:tc>
          <w:tcPr>
            <w:tcW w:w="1295" w:type="dxa"/>
            <w:noWrap w:val="0"/>
            <w:vAlign w:val="center"/>
          </w:tcPr>
          <w:p w14:paraId="5F8508B3">
            <w:pPr>
              <w:shd w:val="clear" w:color="auto" w:fill="auto"/>
              <w:autoSpaceDE w:val="0"/>
              <w:autoSpaceDN w:val="0"/>
              <w:adjustRightInd w:val="0"/>
              <w:rPr>
                <w:rFonts w:hint="eastAsia" w:ascii="宋体" w:hAnsi="宋体" w:cs="宋体"/>
                <w:bCs/>
                <w:color w:val="auto"/>
                <w:w w:val="90"/>
                <w:sz w:val="24"/>
                <w:szCs w:val="24"/>
                <w:highlight w:val="none"/>
              </w:rPr>
            </w:pPr>
          </w:p>
        </w:tc>
        <w:tc>
          <w:tcPr>
            <w:tcW w:w="1560" w:type="dxa"/>
            <w:noWrap w:val="0"/>
            <w:vAlign w:val="center"/>
          </w:tcPr>
          <w:p w14:paraId="492297DC">
            <w:pPr>
              <w:shd w:val="clear" w:color="auto" w:fill="auto"/>
              <w:autoSpaceDE w:val="0"/>
              <w:autoSpaceDN w:val="0"/>
              <w:adjustRightInd w:val="0"/>
              <w:rPr>
                <w:rFonts w:hint="eastAsia" w:ascii="宋体" w:hAnsi="宋体" w:cs="宋体"/>
                <w:bCs/>
                <w:color w:val="auto"/>
                <w:w w:val="90"/>
                <w:sz w:val="24"/>
                <w:szCs w:val="24"/>
                <w:highlight w:val="none"/>
              </w:rPr>
            </w:pPr>
          </w:p>
        </w:tc>
        <w:tc>
          <w:tcPr>
            <w:tcW w:w="1417" w:type="dxa"/>
            <w:noWrap w:val="0"/>
            <w:vAlign w:val="center"/>
          </w:tcPr>
          <w:p w14:paraId="289DC992">
            <w:pPr>
              <w:shd w:val="clear" w:color="auto" w:fill="auto"/>
              <w:autoSpaceDE w:val="0"/>
              <w:autoSpaceDN w:val="0"/>
              <w:adjustRightInd w:val="0"/>
              <w:rPr>
                <w:rFonts w:hint="eastAsia" w:ascii="宋体" w:hAnsi="宋体" w:cs="宋体"/>
                <w:bCs/>
                <w:color w:val="auto"/>
                <w:w w:val="90"/>
                <w:sz w:val="24"/>
                <w:szCs w:val="24"/>
                <w:highlight w:val="none"/>
              </w:rPr>
            </w:pPr>
          </w:p>
        </w:tc>
        <w:tc>
          <w:tcPr>
            <w:tcW w:w="915" w:type="dxa"/>
            <w:noWrap w:val="0"/>
            <w:vAlign w:val="center"/>
          </w:tcPr>
          <w:p w14:paraId="1C49671E">
            <w:pPr>
              <w:shd w:val="clear" w:color="auto" w:fill="auto"/>
              <w:autoSpaceDE w:val="0"/>
              <w:autoSpaceDN w:val="0"/>
              <w:adjustRightInd w:val="0"/>
              <w:rPr>
                <w:rFonts w:hint="eastAsia" w:ascii="宋体" w:hAnsi="宋体" w:cs="宋体"/>
                <w:bCs/>
                <w:color w:val="auto"/>
                <w:w w:val="90"/>
                <w:sz w:val="24"/>
                <w:szCs w:val="24"/>
                <w:highlight w:val="none"/>
              </w:rPr>
            </w:pPr>
          </w:p>
        </w:tc>
        <w:tc>
          <w:tcPr>
            <w:tcW w:w="1310" w:type="dxa"/>
            <w:noWrap w:val="0"/>
            <w:vAlign w:val="center"/>
          </w:tcPr>
          <w:p w14:paraId="237655D6">
            <w:pPr>
              <w:shd w:val="clear" w:color="auto" w:fill="auto"/>
              <w:autoSpaceDE w:val="0"/>
              <w:autoSpaceDN w:val="0"/>
              <w:adjustRightInd w:val="0"/>
              <w:rPr>
                <w:rFonts w:hint="eastAsia" w:ascii="宋体" w:hAnsi="宋体" w:cs="宋体"/>
                <w:bCs/>
                <w:color w:val="auto"/>
                <w:w w:val="90"/>
                <w:sz w:val="24"/>
                <w:szCs w:val="24"/>
                <w:highlight w:val="none"/>
              </w:rPr>
            </w:pPr>
          </w:p>
        </w:tc>
      </w:tr>
      <w:tr w14:paraId="75504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4C67F17F">
            <w:pPr>
              <w:shd w:val="clear" w:color="auto" w:fill="auto"/>
              <w:autoSpaceDE w:val="0"/>
              <w:autoSpaceDN w:val="0"/>
              <w:adjustRightInd w:val="0"/>
              <w:rPr>
                <w:rFonts w:hint="eastAsia" w:ascii="宋体" w:hAnsi="宋体" w:cs="宋体"/>
                <w:bCs/>
                <w:color w:val="auto"/>
                <w:w w:val="90"/>
                <w:sz w:val="24"/>
                <w:szCs w:val="24"/>
                <w:highlight w:val="none"/>
              </w:rPr>
            </w:pPr>
          </w:p>
        </w:tc>
        <w:tc>
          <w:tcPr>
            <w:tcW w:w="1732" w:type="dxa"/>
            <w:noWrap w:val="0"/>
            <w:vAlign w:val="center"/>
          </w:tcPr>
          <w:p w14:paraId="31095048">
            <w:pPr>
              <w:shd w:val="clear" w:color="auto" w:fill="auto"/>
              <w:autoSpaceDE w:val="0"/>
              <w:autoSpaceDN w:val="0"/>
              <w:adjustRightInd w:val="0"/>
              <w:rPr>
                <w:rFonts w:hint="eastAsia" w:ascii="宋体" w:hAnsi="宋体" w:cs="宋体"/>
                <w:bCs/>
                <w:color w:val="auto"/>
                <w:w w:val="90"/>
                <w:sz w:val="24"/>
                <w:szCs w:val="24"/>
                <w:highlight w:val="none"/>
              </w:rPr>
            </w:pPr>
          </w:p>
        </w:tc>
        <w:tc>
          <w:tcPr>
            <w:tcW w:w="1295" w:type="dxa"/>
            <w:noWrap w:val="0"/>
            <w:vAlign w:val="center"/>
          </w:tcPr>
          <w:p w14:paraId="6EC9BCEA">
            <w:pPr>
              <w:shd w:val="clear" w:color="auto" w:fill="auto"/>
              <w:autoSpaceDE w:val="0"/>
              <w:autoSpaceDN w:val="0"/>
              <w:adjustRightInd w:val="0"/>
              <w:rPr>
                <w:rFonts w:hint="eastAsia" w:ascii="宋体" w:hAnsi="宋体" w:cs="宋体"/>
                <w:bCs/>
                <w:color w:val="auto"/>
                <w:w w:val="90"/>
                <w:sz w:val="24"/>
                <w:szCs w:val="24"/>
                <w:highlight w:val="none"/>
              </w:rPr>
            </w:pPr>
          </w:p>
        </w:tc>
        <w:tc>
          <w:tcPr>
            <w:tcW w:w="1560" w:type="dxa"/>
            <w:noWrap w:val="0"/>
            <w:vAlign w:val="center"/>
          </w:tcPr>
          <w:p w14:paraId="511308E1">
            <w:pPr>
              <w:shd w:val="clear" w:color="auto" w:fill="auto"/>
              <w:autoSpaceDE w:val="0"/>
              <w:autoSpaceDN w:val="0"/>
              <w:adjustRightInd w:val="0"/>
              <w:rPr>
                <w:rFonts w:hint="eastAsia" w:ascii="宋体" w:hAnsi="宋体" w:cs="宋体"/>
                <w:bCs/>
                <w:color w:val="auto"/>
                <w:w w:val="90"/>
                <w:sz w:val="24"/>
                <w:szCs w:val="24"/>
                <w:highlight w:val="none"/>
              </w:rPr>
            </w:pPr>
          </w:p>
        </w:tc>
        <w:tc>
          <w:tcPr>
            <w:tcW w:w="1417" w:type="dxa"/>
            <w:noWrap w:val="0"/>
            <w:vAlign w:val="center"/>
          </w:tcPr>
          <w:p w14:paraId="60514B9C">
            <w:pPr>
              <w:shd w:val="clear" w:color="auto" w:fill="auto"/>
              <w:autoSpaceDE w:val="0"/>
              <w:autoSpaceDN w:val="0"/>
              <w:adjustRightInd w:val="0"/>
              <w:rPr>
                <w:rFonts w:hint="eastAsia" w:ascii="宋体" w:hAnsi="宋体" w:cs="宋体"/>
                <w:bCs/>
                <w:color w:val="auto"/>
                <w:w w:val="90"/>
                <w:sz w:val="24"/>
                <w:szCs w:val="24"/>
                <w:highlight w:val="none"/>
              </w:rPr>
            </w:pPr>
          </w:p>
        </w:tc>
        <w:tc>
          <w:tcPr>
            <w:tcW w:w="915" w:type="dxa"/>
            <w:noWrap w:val="0"/>
            <w:vAlign w:val="center"/>
          </w:tcPr>
          <w:p w14:paraId="13E4D06A">
            <w:pPr>
              <w:shd w:val="clear" w:color="auto" w:fill="auto"/>
              <w:autoSpaceDE w:val="0"/>
              <w:autoSpaceDN w:val="0"/>
              <w:adjustRightInd w:val="0"/>
              <w:rPr>
                <w:rFonts w:hint="eastAsia" w:ascii="宋体" w:hAnsi="宋体" w:cs="宋体"/>
                <w:bCs/>
                <w:color w:val="auto"/>
                <w:w w:val="90"/>
                <w:sz w:val="24"/>
                <w:szCs w:val="24"/>
                <w:highlight w:val="none"/>
              </w:rPr>
            </w:pPr>
          </w:p>
        </w:tc>
        <w:tc>
          <w:tcPr>
            <w:tcW w:w="1310" w:type="dxa"/>
            <w:noWrap w:val="0"/>
            <w:vAlign w:val="center"/>
          </w:tcPr>
          <w:p w14:paraId="7CAB022B">
            <w:pPr>
              <w:shd w:val="clear" w:color="auto" w:fill="auto"/>
              <w:autoSpaceDE w:val="0"/>
              <w:autoSpaceDN w:val="0"/>
              <w:adjustRightInd w:val="0"/>
              <w:rPr>
                <w:rFonts w:hint="eastAsia" w:ascii="宋体" w:hAnsi="宋体" w:cs="宋体"/>
                <w:bCs/>
                <w:color w:val="auto"/>
                <w:w w:val="90"/>
                <w:sz w:val="24"/>
                <w:szCs w:val="24"/>
                <w:highlight w:val="none"/>
              </w:rPr>
            </w:pPr>
          </w:p>
        </w:tc>
      </w:tr>
      <w:tr w14:paraId="4C6B4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4DD2B223">
            <w:pPr>
              <w:shd w:val="clear" w:color="auto" w:fill="auto"/>
              <w:autoSpaceDE w:val="0"/>
              <w:autoSpaceDN w:val="0"/>
              <w:adjustRightInd w:val="0"/>
              <w:rPr>
                <w:rFonts w:hint="eastAsia" w:ascii="宋体" w:hAnsi="宋体" w:cs="宋体"/>
                <w:bCs/>
                <w:color w:val="auto"/>
                <w:w w:val="90"/>
                <w:sz w:val="24"/>
                <w:szCs w:val="24"/>
                <w:highlight w:val="none"/>
              </w:rPr>
            </w:pPr>
          </w:p>
        </w:tc>
        <w:tc>
          <w:tcPr>
            <w:tcW w:w="1732" w:type="dxa"/>
            <w:noWrap w:val="0"/>
            <w:vAlign w:val="center"/>
          </w:tcPr>
          <w:p w14:paraId="1ADE26EE">
            <w:pPr>
              <w:shd w:val="clear" w:color="auto" w:fill="auto"/>
              <w:autoSpaceDE w:val="0"/>
              <w:autoSpaceDN w:val="0"/>
              <w:adjustRightInd w:val="0"/>
              <w:rPr>
                <w:rFonts w:hint="eastAsia" w:ascii="宋体" w:hAnsi="宋体" w:cs="宋体"/>
                <w:bCs/>
                <w:color w:val="auto"/>
                <w:w w:val="90"/>
                <w:sz w:val="24"/>
                <w:szCs w:val="24"/>
                <w:highlight w:val="none"/>
              </w:rPr>
            </w:pPr>
          </w:p>
        </w:tc>
        <w:tc>
          <w:tcPr>
            <w:tcW w:w="1295" w:type="dxa"/>
            <w:noWrap w:val="0"/>
            <w:vAlign w:val="center"/>
          </w:tcPr>
          <w:p w14:paraId="380A97FD">
            <w:pPr>
              <w:shd w:val="clear" w:color="auto" w:fill="auto"/>
              <w:autoSpaceDE w:val="0"/>
              <w:autoSpaceDN w:val="0"/>
              <w:adjustRightInd w:val="0"/>
              <w:rPr>
                <w:rFonts w:hint="eastAsia" w:ascii="宋体" w:hAnsi="宋体" w:cs="宋体"/>
                <w:bCs/>
                <w:color w:val="auto"/>
                <w:w w:val="90"/>
                <w:sz w:val="24"/>
                <w:szCs w:val="24"/>
                <w:highlight w:val="none"/>
              </w:rPr>
            </w:pPr>
          </w:p>
        </w:tc>
        <w:tc>
          <w:tcPr>
            <w:tcW w:w="1560" w:type="dxa"/>
            <w:noWrap w:val="0"/>
            <w:vAlign w:val="center"/>
          </w:tcPr>
          <w:p w14:paraId="61A6B8E7">
            <w:pPr>
              <w:shd w:val="clear" w:color="auto" w:fill="auto"/>
              <w:autoSpaceDE w:val="0"/>
              <w:autoSpaceDN w:val="0"/>
              <w:adjustRightInd w:val="0"/>
              <w:rPr>
                <w:rFonts w:hint="eastAsia" w:ascii="宋体" w:hAnsi="宋体" w:cs="宋体"/>
                <w:bCs/>
                <w:color w:val="auto"/>
                <w:w w:val="90"/>
                <w:sz w:val="24"/>
                <w:szCs w:val="24"/>
                <w:highlight w:val="none"/>
              </w:rPr>
            </w:pPr>
          </w:p>
        </w:tc>
        <w:tc>
          <w:tcPr>
            <w:tcW w:w="1417" w:type="dxa"/>
            <w:noWrap w:val="0"/>
            <w:vAlign w:val="center"/>
          </w:tcPr>
          <w:p w14:paraId="39638BEC">
            <w:pPr>
              <w:shd w:val="clear" w:color="auto" w:fill="auto"/>
              <w:autoSpaceDE w:val="0"/>
              <w:autoSpaceDN w:val="0"/>
              <w:adjustRightInd w:val="0"/>
              <w:rPr>
                <w:rFonts w:hint="eastAsia" w:ascii="宋体" w:hAnsi="宋体" w:cs="宋体"/>
                <w:bCs/>
                <w:color w:val="auto"/>
                <w:w w:val="90"/>
                <w:sz w:val="24"/>
                <w:szCs w:val="24"/>
                <w:highlight w:val="none"/>
              </w:rPr>
            </w:pPr>
          </w:p>
        </w:tc>
        <w:tc>
          <w:tcPr>
            <w:tcW w:w="915" w:type="dxa"/>
            <w:noWrap w:val="0"/>
            <w:vAlign w:val="center"/>
          </w:tcPr>
          <w:p w14:paraId="6ECC40E4">
            <w:pPr>
              <w:shd w:val="clear" w:color="auto" w:fill="auto"/>
              <w:autoSpaceDE w:val="0"/>
              <w:autoSpaceDN w:val="0"/>
              <w:adjustRightInd w:val="0"/>
              <w:rPr>
                <w:rFonts w:hint="eastAsia" w:ascii="宋体" w:hAnsi="宋体" w:cs="宋体"/>
                <w:bCs/>
                <w:color w:val="auto"/>
                <w:w w:val="90"/>
                <w:sz w:val="24"/>
                <w:szCs w:val="24"/>
                <w:highlight w:val="none"/>
              </w:rPr>
            </w:pPr>
          </w:p>
        </w:tc>
        <w:tc>
          <w:tcPr>
            <w:tcW w:w="1310" w:type="dxa"/>
            <w:noWrap w:val="0"/>
            <w:vAlign w:val="center"/>
          </w:tcPr>
          <w:p w14:paraId="0EBA413F">
            <w:pPr>
              <w:shd w:val="clear" w:color="auto" w:fill="auto"/>
              <w:autoSpaceDE w:val="0"/>
              <w:autoSpaceDN w:val="0"/>
              <w:adjustRightInd w:val="0"/>
              <w:rPr>
                <w:rFonts w:hint="eastAsia" w:ascii="宋体" w:hAnsi="宋体" w:cs="宋体"/>
                <w:bCs/>
                <w:color w:val="auto"/>
                <w:w w:val="90"/>
                <w:sz w:val="24"/>
                <w:szCs w:val="24"/>
                <w:highlight w:val="none"/>
              </w:rPr>
            </w:pPr>
          </w:p>
        </w:tc>
      </w:tr>
      <w:tr w14:paraId="4EF5D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5ED27D63">
            <w:pPr>
              <w:shd w:val="clear" w:color="auto" w:fill="auto"/>
              <w:autoSpaceDE w:val="0"/>
              <w:autoSpaceDN w:val="0"/>
              <w:adjustRightInd w:val="0"/>
              <w:rPr>
                <w:rFonts w:hint="eastAsia" w:ascii="宋体" w:hAnsi="宋体" w:cs="宋体"/>
                <w:bCs/>
                <w:color w:val="auto"/>
                <w:w w:val="90"/>
                <w:sz w:val="24"/>
                <w:szCs w:val="24"/>
                <w:highlight w:val="none"/>
              </w:rPr>
            </w:pPr>
          </w:p>
        </w:tc>
        <w:tc>
          <w:tcPr>
            <w:tcW w:w="1732" w:type="dxa"/>
            <w:noWrap w:val="0"/>
            <w:vAlign w:val="center"/>
          </w:tcPr>
          <w:p w14:paraId="739CC701">
            <w:pPr>
              <w:shd w:val="clear" w:color="auto" w:fill="auto"/>
              <w:autoSpaceDE w:val="0"/>
              <w:autoSpaceDN w:val="0"/>
              <w:adjustRightInd w:val="0"/>
              <w:rPr>
                <w:rFonts w:hint="eastAsia" w:ascii="宋体" w:hAnsi="宋体" w:cs="宋体"/>
                <w:bCs/>
                <w:color w:val="auto"/>
                <w:w w:val="90"/>
                <w:sz w:val="24"/>
                <w:szCs w:val="24"/>
                <w:highlight w:val="none"/>
              </w:rPr>
            </w:pPr>
          </w:p>
        </w:tc>
        <w:tc>
          <w:tcPr>
            <w:tcW w:w="1295" w:type="dxa"/>
            <w:noWrap w:val="0"/>
            <w:vAlign w:val="center"/>
          </w:tcPr>
          <w:p w14:paraId="588C964E">
            <w:pPr>
              <w:shd w:val="clear" w:color="auto" w:fill="auto"/>
              <w:autoSpaceDE w:val="0"/>
              <w:autoSpaceDN w:val="0"/>
              <w:adjustRightInd w:val="0"/>
              <w:rPr>
                <w:rFonts w:hint="eastAsia" w:ascii="宋体" w:hAnsi="宋体" w:cs="宋体"/>
                <w:bCs/>
                <w:color w:val="auto"/>
                <w:w w:val="90"/>
                <w:sz w:val="24"/>
                <w:szCs w:val="24"/>
                <w:highlight w:val="none"/>
              </w:rPr>
            </w:pPr>
          </w:p>
        </w:tc>
        <w:tc>
          <w:tcPr>
            <w:tcW w:w="1560" w:type="dxa"/>
            <w:noWrap w:val="0"/>
            <w:vAlign w:val="center"/>
          </w:tcPr>
          <w:p w14:paraId="67A0A3C0">
            <w:pPr>
              <w:shd w:val="clear" w:color="auto" w:fill="auto"/>
              <w:autoSpaceDE w:val="0"/>
              <w:autoSpaceDN w:val="0"/>
              <w:adjustRightInd w:val="0"/>
              <w:rPr>
                <w:rFonts w:hint="eastAsia" w:ascii="宋体" w:hAnsi="宋体" w:cs="宋体"/>
                <w:bCs/>
                <w:color w:val="auto"/>
                <w:w w:val="90"/>
                <w:sz w:val="24"/>
                <w:szCs w:val="24"/>
                <w:highlight w:val="none"/>
              </w:rPr>
            </w:pPr>
          </w:p>
        </w:tc>
        <w:tc>
          <w:tcPr>
            <w:tcW w:w="1417" w:type="dxa"/>
            <w:noWrap w:val="0"/>
            <w:vAlign w:val="center"/>
          </w:tcPr>
          <w:p w14:paraId="17E29495">
            <w:pPr>
              <w:shd w:val="clear" w:color="auto" w:fill="auto"/>
              <w:autoSpaceDE w:val="0"/>
              <w:autoSpaceDN w:val="0"/>
              <w:adjustRightInd w:val="0"/>
              <w:rPr>
                <w:rFonts w:hint="eastAsia" w:ascii="宋体" w:hAnsi="宋体" w:cs="宋体"/>
                <w:bCs/>
                <w:color w:val="auto"/>
                <w:w w:val="90"/>
                <w:sz w:val="24"/>
                <w:szCs w:val="24"/>
                <w:highlight w:val="none"/>
              </w:rPr>
            </w:pPr>
          </w:p>
        </w:tc>
        <w:tc>
          <w:tcPr>
            <w:tcW w:w="915" w:type="dxa"/>
            <w:noWrap w:val="0"/>
            <w:vAlign w:val="center"/>
          </w:tcPr>
          <w:p w14:paraId="6F91C3D1">
            <w:pPr>
              <w:shd w:val="clear" w:color="auto" w:fill="auto"/>
              <w:autoSpaceDE w:val="0"/>
              <w:autoSpaceDN w:val="0"/>
              <w:adjustRightInd w:val="0"/>
              <w:rPr>
                <w:rFonts w:hint="eastAsia" w:ascii="宋体" w:hAnsi="宋体" w:cs="宋体"/>
                <w:bCs/>
                <w:color w:val="auto"/>
                <w:w w:val="90"/>
                <w:sz w:val="24"/>
                <w:szCs w:val="24"/>
                <w:highlight w:val="none"/>
              </w:rPr>
            </w:pPr>
          </w:p>
        </w:tc>
        <w:tc>
          <w:tcPr>
            <w:tcW w:w="1310" w:type="dxa"/>
            <w:noWrap w:val="0"/>
            <w:vAlign w:val="center"/>
          </w:tcPr>
          <w:p w14:paraId="3D4394C9">
            <w:pPr>
              <w:shd w:val="clear" w:color="auto" w:fill="auto"/>
              <w:autoSpaceDE w:val="0"/>
              <w:autoSpaceDN w:val="0"/>
              <w:adjustRightInd w:val="0"/>
              <w:rPr>
                <w:rFonts w:hint="eastAsia" w:ascii="宋体" w:hAnsi="宋体" w:cs="宋体"/>
                <w:bCs/>
                <w:color w:val="auto"/>
                <w:w w:val="90"/>
                <w:sz w:val="24"/>
                <w:szCs w:val="24"/>
                <w:highlight w:val="none"/>
              </w:rPr>
            </w:pPr>
          </w:p>
        </w:tc>
      </w:tr>
      <w:tr w14:paraId="0E5D5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0FD7100D">
            <w:pPr>
              <w:shd w:val="clear" w:color="auto" w:fill="auto"/>
              <w:autoSpaceDE w:val="0"/>
              <w:autoSpaceDN w:val="0"/>
              <w:adjustRightInd w:val="0"/>
              <w:rPr>
                <w:rFonts w:hint="eastAsia" w:ascii="宋体" w:hAnsi="宋体" w:cs="宋体"/>
                <w:bCs/>
                <w:color w:val="auto"/>
                <w:w w:val="90"/>
                <w:sz w:val="24"/>
                <w:szCs w:val="24"/>
                <w:highlight w:val="none"/>
              </w:rPr>
            </w:pPr>
          </w:p>
        </w:tc>
        <w:tc>
          <w:tcPr>
            <w:tcW w:w="1732" w:type="dxa"/>
            <w:noWrap w:val="0"/>
            <w:vAlign w:val="center"/>
          </w:tcPr>
          <w:p w14:paraId="08B118DB">
            <w:pPr>
              <w:shd w:val="clear" w:color="auto" w:fill="auto"/>
              <w:autoSpaceDE w:val="0"/>
              <w:autoSpaceDN w:val="0"/>
              <w:adjustRightInd w:val="0"/>
              <w:rPr>
                <w:rFonts w:hint="eastAsia" w:ascii="宋体" w:hAnsi="宋体" w:cs="宋体"/>
                <w:bCs/>
                <w:color w:val="auto"/>
                <w:w w:val="90"/>
                <w:sz w:val="24"/>
                <w:szCs w:val="24"/>
                <w:highlight w:val="none"/>
              </w:rPr>
            </w:pPr>
          </w:p>
        </w:tc>
        <w:tc>
          <w:tcPr>
            <w:tcW w:w="1295" w:type="dxa"/>
            <w:noWrap w:val="0"/>
            <w:vAlign w:val="center"/>
          </w:tcPr>
          <w:p w14:paraId="3C7F8F9C">
            <w:pPr>
              <w:shd w:val="clear" w:color="auto" w:fill="auto"/>
              <w:autoSpaceDE w:val="0"/>
              <w:autoSpaceDN w:val="0"/>
              <w:adjustRightInd w:val="0"/>
              <w:rPr>
                <w:rFonts w:hint="eastAsia" w:ascii="宋体" w:hAnsi="宋体" w:cs="宋体"/>
                <w:bCs/>
                <w:color w:val="auto"/>
                <w:w w:val="90"/>
                <w:sz w:val="24"/>
                <w:szCs w:val="24"/>
                <w:highlight w:val="none"/>
              </w:rPr>
            </w:pPr>
          </w:p>
        </w:tc>
        <w:tc>
          <w:tcPr>
            <w:tcW w:w="1560" w:type="dxa"/>
            <w:noWrap w:val="0"/>
            <w:vAlign w:val="center"/>
          </w:tcPr>
          <w:p w14:paraId="5088C63A">
            <w:pPr>
              <w:shd w:val="clear" w:color="auto" w:fill="auto"/>
              <w:autoSpaceDE w:val="0"/>
              <w:autoSpaceDN w:val="0"/>
              <w:adjustRightInd w:val="0"/>
              <w:rPr>
                <w:rFonts w:hint="eastAsia" w:ascii="宋体" w:hAnsi="宋体" w:cs="宋体"/>
                <w:bCs/>
                <w:color w:val="auto"/>
                <w:w w:val="90"/>
                <w:sz w:val="24"/>
                <w:szCs w:val="24"/>
                <w:highlight w:val="none"/>
              </w:rPr>
            </w:pPr>
          </w:p>
        </w:tc>
        <w:tc>
          <w:tcPr>
            <w:tcW w:w="1417" w:type="dxa"/>
            <w:noWrap w:val="0"/>
            <w:vAlign w:val="center"/>
          </w:tcPr>
          <w:p w14:paraId="4ED4A31F">
            <w:pPr>
              <w:shd w:val="clear" w:color="auto" w:fill="auto"/>
              <w:autoSpaceDE w:val="0"/>
              <w:autoSpaceDN w:val="0"/>
              <w:adjustRightInd w:val="0"/>
              <w:rPr>
                <w:rFonts w:hint="eastAsia" w:ascii="宋体" w:hAnsi="宋体" w:cs="宋体"/>
                <w:bCs/>
                <w:color w:val="auto"/>
                <w:w w:val="90"/>
                <w:sz w:val="24"/>
                <w:szCs w:val="24"/>
                <w:highlight w:val="none"/>
              </w:rPr>
            </w:pPr>
          </w:p>
        </w:tc>
        <w:tc>
          <w:tcPr>
            <w:tcW w:w="915" w:type="dxa"/>
            <w:noWrap w:val="0"/>
            <w:vAlign w:val="center"/>
          </w:tcPr>
          <w:p w14:paraId="24EFDDB3">
            <w:pPr>
              <w:shd w:val="clear" w:color="auto" w:fill="auto"/>
              <w:autoSpaceDE w:val="0"/>
              <w:autoSpaceDN w:val="0"/>
              <w:adjustRightInd w:val="0"/>
              <w:rPr>
                <w:rFonts w:hint="eastAsia" w:ascii="宋体" w:hAnsi="宋体" w:cs="宋体"/>
                <w:bCs/>
                <w:color w:val="auto"/>
                <w:w w:val="90"/>
                <w:sz w:val="24"/>
                <w:szCs w:val="24"/>
                <w:highlight w:val="none"/>
              </w:rPr>
            </w:pPr>
          </w:p>
        </w:tc>
        <w:tc>
          <w:tcPr>
            <w:tcW w:w="1310" w:type="dxa"/>
            <w:noWrap w:val="0"/>
            <w:vAlign w:val="center"/>
          </w:tcPr>
          <w:p w14:paraId="229CBE7E">
            <w:pPr>
              <w:shd w:val="clear" w:color="auto" w:fill="auto"/>
              <w:autoSpaceDE w:val="0"/>
              <w:autoSpaceDN w:val="0"/>
              <w:adjustRightInd w:val="0"/>
              <w:rPr>
                <w:rFonts w:hint="eastAsia" w:ascii="宋体" w:hAnsi="宋体" w:cs="宋体"/>
                <w:bCs/>
                <w:color w:val="auto"/>
                <w:w w:val="90"/>
                <w:sz w:val="24"/>
                <w:szCs w:val="24"/>
                <w:highlight w:val="none"/>
              </w:rPr>
            </w:pPr>
          </w:p>
        </w:tc>
      </w:tr>
      <w:tr w14:paraId="3FEB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1E5AFEE2">
            <w:pPr>
              <w:shd w:val="clear" w:color="auto" w:fill="auto"/>
              <w:autoSpaceDE w:val="0"/>
              <w:autoSpaceDN w:val="0"/>
              <w:adjustRightInd w:val="0"/>
              <w:rPr>
                <w:rFonts w:hint="eastAsia" w:ascii="宋体" w:hAnsi="宋体" w:cs="宋体"/>
                <w:bCs/>
                <w:color w:val="auto"/>
                <w:w w:val="90"/>
                <w:sz w:val="24"/>
                <w:szCs w:val="24"/>
                <w:highlight w:val="none"/>
              </w:rPr>
            </w:pPr>
          </w:p>
        </w:tc>
        <w:tc>
          <w:tcPr>
            <w:tcW w:w="1732" w:type="dxa"/>
            <w:noWrap w:val="0"/>
            <w:vAlign w:val="center"/>
          </w:tcPr>
          <w:p w14:paraId="2430B97B">
            <w:pPr>
              <w:shd w:val="clear" w:color="auto" w:fill="auto"/>
              <w:autoSpaceDE w:val="0"/>
              <w:autoSpaceDN w:val="0"/>
              <w:adjustRightInd w:val="0"/>
              <w:rPr>
                <w:rFonts w:hint="eastAsia" w:ascii="宋体" w:hAnsi="宋体" w:cs="宋体"/>
                <w:bCs/>
                <w:color w:val="auto"/>
                <w:w w:val="90"/>
                <w:sz w:val="24"/>
                <w:szCs w:val="24"/>
                <w:highlight w:val="none"/>
              </w:rPr>
            </w:pPr>
          </w:p>
        </w:tc>
        <w:tc>
          <w:tcPr>
            <w:tcW w:w="1295" w:type="dxa"/>
            <w:noWrap w:val="0"/>
            <w:vAlign w:val="center"/>
          </w:tcPr>
          <w:p w14:paraId="1631C218">
            <w:pPr>
              <w:shd w:val="clear" w:color="auto" w:fill="auto"/>
              <w:autoSpaceDE w:val="0"/>
              <w:autoSpaceDN w:val="0"/>
              <w:adjustRightInd w:val="0"/>
              <w:rPr>
                <w:rFonts w:hint="eastAsia" w:ascii="宋体" w:hAnsi="宋体" w:cs="宋体"/>
                <w:bCs/>
                <w:color w:val="auto"/>
                <w:w w:val="90"/>
                <w:sz w:val="24"/>
                <w:szCs w:val="24"/>
                <w:highlight w:val="none"/>
              </w:rPr>
            </w:pPr>
          </w:p>
        </w:tc>
        <w:tc>
          <w:tcPr>
            <w:tcW w:w="1560" w:type="dxa"/>
            <w:noWrap w:val="0"/>
            <w:vAlign w:val="center"/>
          </w:tcPr>
          <w:p w14:paraId="62C2D4FD">
            <w:pPr>
              <w:shd w:val="clear" w:color="auto" w:fill="auto"/>
              <w:autoSpaceDE w:val="0"/>
              <w:autoSpaceDN w:val="0"/>
              <w:adjustRightInd w:val="0"/>
              <w:rPr>
                <w:rFonts w:hint="eastAsia" w:ascii="宋体" w:hAnsi="宋体" w:cs="宋体"/>
                <w:bCs/>
                <w:color w:val="auto"/>
                <w:w w:val="90"/>
                <w:sz w:val="24"/>
                <w:szCs w:val="24"/>
                <w:highlight w:val="none"/>
              </w:rPr>
            </w:pPr>
          </w:p>
        </w:tc>
        <w:tc>
          <w:tcPr>
            <w:tcW w:w="1417" w:type="dxa"/>
            <w:noWrap w:val="0"/>
            <w:vAlign w:val="center"/>
          </w:tcPr>
          <w:p w14:paraId="447A1AE9">
            <w:pPr>
              <w:shd w:val="clear" w:color="auto" w:fill="auto"/>
              <w:autoSpaceDE w:val="0"/>
              <w:autoSpaceDN w:val="0"/>
              <w:adjustRightInd w:val="0"/>
              <w:rPr>
                <w:rFonts w:hint="eastAsia" w:ascii="宋体" w:hAnsi="宋体" w:cs="宋体"/>
                <w:bCs/>
                <w:color w:val="auto"/>
                <w:w w:val="90"/>
                <w:sz w:val="24"/>
                <w:szCs w:val="24"/>
                <w:highlight w:val="none"/>
              </w:rPr>
            </w:pPr>
          </w:p>
        </w:tc>
        <w:tc>
          <w:tcPr>
            <w:tcW w:w="915" w:type="dxa"/>
            <w:noWrap w:val="0"/>
            <w:vAlign w:val="center"/>
          </w:tcPr>
          <w:p w14:paraId="54C34210">
            <w:pPr>
              <w:shd w:val="clear" w:color="auto" w:fill="auto"/>
              <w:autoSpaceDE w:val="0"/>
              <w:autoSpaceDN w:val="0"/>
              <w:adjustRightInd w:val="0"/>
              <w:rPr>
                <w:rFonts w:hint="eastAsia" w:ascii="宋体" w:hAnsi="宋体" w:cs="宋体"/>
                <w:bCs/>
                <w:color w:val="auto"/>
                <w:w w:val="90"/>
                <w:sz w:val="24"/>
                <w:szCs w:val="24"/>
                <w:highlight w:val="none"/>
              </w:rPr>
            </w:pPr>
          </w:p>
        </w:tc>
        <w:tc>
          <w:tcPr>
            <w:tcW w:w="1310" w:type="dxa"/>
            <w:noWrap w:val="0"/>
            <w:vAlign w:val="center"/>
          </w:tcPr>
          <w:p w14:paraId="306F3C33">
            <w:pPr>
              <w:shd w:val="clear" w:color="auto" w:fill="auto"/>
              <w:autoSpaceDE w:val="0"/>
              <w:autoSpaceDN w:val="0"/>
              <w:adjustRightInd w:val="0"/>
              <w:rPr>
                <w:rFonts w:hint="eastAsia" w:ascii="宋体" w:hAnsi="宋体" w:cs="宋体"/>
                <w:bCs/>
                <w:color w:val="auto"/>
                <w:w w:val="90"/>
                <w:sz w:val="24"/>
                <w:szCs w:val="24"/>
                <w:highlight w:val="none"/>
              </w:rPr>
            </w:pPr>
          </w:p>
        </w:tc>
      </w:tr>
      <w:tr w14:paraId="2B6C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3FADAEC3">
            <w:pPr>
              <w:shd w:val="clear" w:color="auto" w:fill="auto"/>
              <w:autoSpaceDE w:val="0"/>
              <w:autoSpaceDN w:val="0"/>
              <w:adjustRightInd w:val="0"/>
              <w:rPr>
                <w:rFonts w:hint="eastAsia" w:ascii="宋体" w:hAnsi="宋体" w:cs="宋体"/>
                <w:bCs/>
                <w:color w:val="auto"/>
                <w:w w:val="90"/>
                <w:sz w:val="24"/>
                <w:szCs w:val="24"/>
                <w:highlight w:val="none"/>
              </w:rPr>
            </w:pPr>
          </w:p>
        </w:tc>
        <w:tc>
          <w:tcPr>
            <w:tcW w:w="1732" w:type="dxa"/>
            <w:noWrap w:val="0"/>
            <w:vAlign w:val="center"/>
          </w:tcPr>
          <w:p w14:paraId="6C23C6A4">
            <w:pPr>
              <w:shd w:val="clear" w:color="auto" w:fill="auto"/>
              <w:autoSpaceDE w:val="0"/>
              <w:autoSpaceDN w:val="0"/>
              <w:adjustRightInd w:val="0"/>
              <w:rPr>
                <w:rFonts w:hint="eastAsia" w:ascii="宋体" w:hAnsi="宋体" w:cs="宋体"/>
                <w:bCs/>
                <w:color w:val="auto"/>
                <w:w w:val="90"/>
                <w:sz w:val="24"/>
                <w:szCs w:val="24"/>
                <w:highlight w:val="none"/>
              </w:rPr>
            </w:pPr>
          </w:p>
        </w:tc>
        <w:tc>
          <w:tcPr>
            <w:tcW w:w="1295" w:type="dxa"/>
            <w:noWrap w:val="0"/>
            <w:vAlign w:val="center"/>
          </w:tcPr>
          <w:p w14:paraId="6655B4F4">
            <w:pPr>
              <w:shd w:val="clear" w:color="auto" w:fill="auto"/>
              <w:autoSpaceDE w:val="0"/>
              <w:autoSpaceDN w:val="0"/>
              <w:adjustRightInd w:val="0"/>
              <w:rPr>
                <w:rFonts w:hint="eastAsia" w:ascii="宋体" w:hAnsi="宋体" w:cs="宋体"/>
                <w:bCs/>
                <w:color w:val="auto"/>
                <w:w w:val="90"/>
                <w:sz w:val="24"/>
                <w:szCs w:val="24"/>
                <w:highlight w:val="none"/>
              </w:rPr>
            </w:pPr>
          </w:p>
        </w:tc>
        <w:tc>
          <w:tcPr>
            <w:tcW w:w="1560" w:type="dxa"/>
            <w:noWrap w:val="0"/>
            <w:vAlign w:val="center"/>
          </w:tcPr>
          <w:p w14:paraId="4B74A884">
            <w:pPr>
              <w:shd w:val="clear" w:color="auto" w:fill="auto"/>
              <w:autoSpaceDE w:val="0"/>
              <w:autoSpaceDN w:val="0"/>
              <w:adjustRightInd w:val="0"/>
              <w:rPr>
                <w:rFonts w:hint="eastAsia" w:ascii="宋体" w:hAnsi="宋体" w:cs="宋体"/>
                <w:bCs/>
                <w:color w:val="auto"/>
                <w:w w:val="90"/>
                <w:sz w:val="24"/>
                <w:szCs w:val="24"/>
                <w:highlight w:val="none"/>
              </w:rPr>
            </w:pPr>
          </w:p>
        </w:tc>
        <w:tc>
          <w:tcPr>
            <w:tcW w:w="1417" w:type="dxa"/>
            <w:noWrap w:val="0"/>
            <w:vAlign w:val="center"/>
          </w:tcPr>
          <w:p w14:paraId="62C6D9A4">
            <w:pPr>
              <w:shd w:val="clear" w:color="auto" w:fill="auto"/>
              <w:autoSpaceDE w:val="0"/>
              <w:autoSpaceDN w:val="0"/>
              <w:adjustRightInd w:val="0"/>
              <w:rPr>
                <w:rFonts w:hint="eastAsia" w:ascii="宋体" w:hAnsi="宋体" w:cs="宋体"/>
                <w:bCs/>
                <w:color w:val="auto"/>
                <w:w w:val="90"/>
                <w:sz w:val="24"/>
                <w:szCs w:val="24"/>
                <w:highlight w:val="none"/>
              </w:rPr>
            </w:pPr>
          </w:p>
        </w:tc>
        <w:tc>
          <w:tcPr>
            <w:tcW w:w="915" w:type="dxa"/>
            <w:noWrap w:val="0"/>
            <w:vAlign w:val="center"/>
          </w:tcPr>
          <w:p w14:paraId="5951DFF9">
            <w:pPr>
              <w:shd w:val="clear" w:color="auto" w:fill="auto"/>
              <w:autoSpaceDE w:val="0"/>
              <w:autoSpaceDN w:val="0"/>
              <w:adjustRightInd w:val="0"/>
              <w:rPr>
                <w:rFonts w:hint="eastAsia" w:ascii="宋体" w:hAnsi="宋体" w:cs="宋体"/>
                <w:bCs/>
                <w:color w:val="auto"/>
                <w:w w:val="90"/>
                <w:sz w:val="24"/>
                <w:szCs w:val="24"/>
                <w:highlight w:val="none"/>
              </w:rPr>
            </w:pPr>
          </w:p>
        </w:tc>
        <w:tc>
          <w:tcPr>
            <w:tcW w:w="1310" w:type="dxa"/>
            <w:noWrap w:val="0"/>
            <w:vAlign w:val="center"/>
          </w:tcPr>
          <w:p w14:paraId="75CE79E0">
            <w:pPr>
              <w:shd w:val="clear" w:color="auto" w:fill="auto"/>
              <w:autoSpaceDE w:val="0"/>
              <w:autoSpaceDN w:val="0"/>
              <w:adjustRightInd w:val="0"/>
              <w:rPr>
                <w:rFonts w:hint="eastAsia" w:ascii="宋体" w:hAnsi="宋体" w:cs="宋体"/>
                <w:bCs/>
                <w:color w:val="auto"/>
                <w:w w:val="90"/>
                <w:sz w:val="24"/>
                <w:szCs w:val="24"/>
                <w:highlight w:val="none"/>
              </w:rPr>
            </w:pPr>
          </w:p>
        </w:tc>
      </w:tr>
      <w:tr w14:paraId="7F77E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0DE8D0A9">
            <w:pPr>
              <w:shd w:val="clear" w:color="auto" w:fill="auto"/>
              <w:autoSpaceDE w:val="0"/>
              <w:autoSpaceDN w:val="0"/>
              <w:adjustRightInd w:val="0"/>
              <w:rPr>
                <w:rFonts w:hint="eastAsia" w:ascii="宋体" w:hAnsi="宋体" w:cs="宋体"/>
                <w:bCs/>
                <w:color w:val="auto"/>
                <w:w w:val="90"/>
                <w:sz w:val="24"/>
                <w:szCs w:val="24"/>
                <w:highlight w:val="none"/>
              </w:rPr>
            </w:pPr>
          </w:p>
        </w:tc>
        <w:tc>
          <w:tcPr>
            <w:tcW w:w="1732" w:type="dxa"/>
            <w:noWrap w:val="0"/>
            <w:vAlign w:val="center"/>
          </w:tcPr>
          <w:p w14:paraId="4D5EA239">
            <w:pPr>
              <w:shd w:val="clear" w:color="auto" w:fill="auto"/>
              <w:autoSpaceDE w:val="0"/>
              <w:autoSpaceDN w:val="0"/>
              <w:adjustRightInd w:val="0"/>
              <w:rPr>
                <w:rFonts w:hint="eastAsia" w:ascii="宋体" w:hAnsi="宋体" w:cs="宋体"/>
                <w:bCs/>
                <w:color w:val="auto"/>
                <w:w w:val="90"/>
                <w:sz w:val="24"/>
                <w:szCs w:val="24"/>
                <w:highlight w:val="none"/>
              </w:rPr>
            </w:pPr>
          </w:p>
        </w:tc>
        <w:tc>
          <w:tcPr>
            <w:tcW w:w="1295" w:type="dxa"/>
            <w:noWrap w:val="0"/>
            <w:vAlign w:val="center"/>
          </w:tcPr>
          <w:p w14:paraId="0A05221F">
            <w:pPr>
              <w:shd w:val="clear" w:color="auto" w:fill="auto"/>
              <w:autoSpaceDE w:val="0"/>
              <w:autoSpaceDN w:val="0"/>
              <w:adjustRightInd w:val="0"/>
              <w:rPr>
                <w:rFonts w:hint="eastAsia" w:ascii="宋体" w:hAnsi="宋体" w:cs="宋体"/>
                <w:bCs/>
                <w:color w:val="auto"/>
                <w:w w:val="90"/>
                <w:sz w:val="24"/>
                <w:szCs w:val="24"/>
                <w:highlight w:val="none"/>
              </w:rPr>
            </w:pPr>
          </w:p>
        </w:tc>
        <w:tc>
          <w:tcPr>
            <w:tcW w:w="1560" w:type="dxa"/>
            <w:noWrap w:val="0"/>
            <w:vAlign w:val="center"/>
          </w:tcPr>
          <w:p w14:paraId="0205A38D">
            <w:pPr>
              <w:shd w:val="clear" w:color="auto" w:fill="auto"/>
              <w:autoSpaceDE w:val="0"/>
              <w:autoSpaceDN w:val="0"/>
              <w:adjustRightInd w:val="0"/>
              <w:rPr>
                <w:rFonts w:hint="eastAsia" w:ascii="宋体" w:hAnsi="宋体" w:cs="宋体"/>
                <w:bCs/>
                <w:color w:val="auto"/>
                <w:w w:val="90"/>
                <w:sz w:val="24"/>
                <w:szCs w:val="24"/>
                <w:highlight w:val="none"/>
              </w:rPr>
            </w:pPr>
          </w:p>
        </w:tc>
        <w:tc>
          <w:tcPr>
            <w:tcW w:w="1417" w:type="dxa"/>
            <w:noWrap w:val="0"/>
            <w:vAlign w:val="center"/>
          </w:tcPr>
          <w:p w14:paraId="1B8FDA1F">
            <w:pPr>
              <w:shd w:val="clear" w:color="auto" w:fill="auto"/>
              <w:autoSpaceDE w:val="0"/>
              <w:autoSpaceDN w:val="0"/>
              <w:adjustRightInd w:val="0"/>
              <w:rPr>
                <w:rFonts w:hint="eastAsia" w:ascii="宋体" w:hAnsi="宋体" w:cs="宋体"/>
                <w:bCs/>
                <w:color w:val="auto"/>
                <w:w w:val="90"/>
                <w:sz w:val="24"/>
                <w:szCs w:val="24"/>
                <w:highlight w:val="none"/>
              </w:rPr>
            </w:pPr>
          </w:p>
        </w:tc>
        <w:tc>
          <w:tcPr>
            <w:tcW w:w="915" w:type="dxa"/>
            <w:noWrap w:val="0"/>
            <w:vAlign w:val="center"/>
          </w:tcPr>
          <w:p w14:paraId="4A8621AD">
            <w:pPr>
              <w:shd w:val="clear" w:color="auto" w:fill="auto"/>
              <w:autoSpaceDE w:val="0"/>
              <w:autoSpaceDN w:val="0"/>
              <w:adjustRightInd w:val="0"/>
              <w:rPr>
                <w:rFonts w:hint="eastAsia" w:ascii="宋体" w:hAnsi="宋体" w:cs="宋体"/>
                <w:bCs/>
                <w:color w:val="auto"/>
                <w:w w:val="90"/>
                <w:sz w:val="24"/>
                <w:szCs w:val="24"/>
                <w:highlight w:val="none"/>
              </w:rPr>
            </w:pPr>
          </w:p>
        </w:tc>
        <w:tc>
          <w:tcPr>
            <w:tcW w:w="1310" w:type="dxa"/>
            <w:noWrap w:val="0"/>
            <w:vAlign w:val="center"/>
          </w:tcPr>
          <w:p w14:paraId="16FBD3C9">
            <w:pPr>
              <w:shd w:val="clear" w:color="auto" w:fill="auto"/>
              <w:autoSpaceDE w:val="0"/>
              <w:autoSpaceDN w:val="0"/>
              <w:adjustRightInd w:val="0"/>
              <w:rPr>
                <w:rFonts w:hint="eastAsia" w:ascii="宋体" w:hAnsi="宋体" w:cs="宋体"/>
                <w:bCs/>
                <w:color w:val="auto"/>
                <w:w w:val="90"/>
                <w:sz w:val="24"/>
                <w:szCs w:val="24"/>
                <w:highlight w:val="none"/>
              </w:rPr>
            </w:pPr>
          </w:p>
        </w:tc>
      </w:tr>
    </w:tbl>
    <w:p w14:paraId="57317B65">
      <w:pPr>
        <w:shd w:val="clear" w:color="auto" w:fill="auto"/>
        <w:rPr>
          <w:rFonts w:hint="eastAsia" w:ascii="宋体" w:hAnsi="宋体" w:cs="宋体"/>
          <w:color w:val="auto"/>
          <w:sz w:val="24"/>
          <w:szCs w:val="24"/>
          <w:highlight w:val="none"/>
        </w:rPr>
      </w:pPr>
    </w:p>
    <w:p w14:paraId="5A6535E8">
      <w:pPr>
        <w:shd w:val="clear" w:color="auto" w:fill="auto"/>
        <w:rPr>
          <w:rFonts w:hint="eastAsia" w:ascii="宋体" w:hAnsi="宋体" w:cs="宋体"/>
          <w:color w:val="auto"/>
          <w:sz w:val="24"/>
          <w:szCs w:val="24"/>
          <w:highlight w:val="none"/>
        </w:rPr>
      </w:pPr>
    </w:p>
    <w:p w14:paraId="73AF34AC">
      <w:pPr>
        <w:shd w:val="clear" w:color="auto" w:fill="auto"/>
        <w:rPr>
          <w:rFonts w:hint="eastAsia" w:ascii="宋体" w:hAnsi="宋体" w:cs="宋体"/>
          <w:color w:val="auto"/>
          <w:sz w:val="24"/>
          <w:szCs w:val="24"/>
          <w:highlight w:val="none"/>
        </w:rPr>
      </w:pPr>
    </w:p>
    <w:p w14:paraId="593AC190">
      <w:pPr>
        <w:shd w:val="clear" w:color="auto" w:fill="auto"/>
        <w:autoSpaceDE w:val="0"/>
        <w:autoSpaceDN w:val="0"/>
        <w:adjustRightInd w:val="0"/>
        <w:spacing w:line="360" w:lineRule="auto"/>
        <w:jc w:val="right"/>
        <w:rPr>
          <w:rFonts w:hint="eastAsia" w:ascii="宋体" w:hAnsi="宋体" w:cs="宋体"/>
          <w:color w:val="auto"/>
          <w:sz w:val="24"/>
          <w:highlight w:val="none"/>
          <w:lang w:val="zh-CN"/>
        </w:rPr>
      </w:pPr>
      <w:r>
        <w:rPr>
          <w:rFonts w:hint="eastAsia" w:ascii="宋体" w:hAnsi="宋体" w:cs="宋体"/>
          <w:color w:val="auto"/>
          <w:sz w:val="24"/>
          <w:highlight w:val="none"/>
        </w:rPr>
        <w:t xml:space="preserve">              供应商</w:t>
      </w:r>
      <w:r>
        <w:rPr>
          <w:rFonts w:hint="eastAsia" w:ascii="宋体" w:hAnsi="宋体" w:cs="宋体"/>
          <w:color w:val="auto"/>
          <w:sz w:val="24"/>
          <w:highlight w:val="none"/>
          <w:lang w:val="zh-CN"/>
        </w:rPr>
        <w:t>：</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（盖单位公章）</w:t>
      </w:r>
    </w:p>
    <w:p w14:paraId="4A8CFE53">
      <w:pPr>
        <w:shd w:val="clear" w:color="auto" w:fill="auto"/>
        <w:autoSpaceDE w:val="0"/>
        <w:autoSpaceDN w:val="0"/>
        <w:adjustRightInd w:val="0"/>
        <w:spacing w:line="360" w:lineRule="auto"/>
        <w:jc w:val="right"/>
        <w:rPr>
          <w:rFonts w:hint="eastAsia" w:ascii="宋体" w:hAnsi="宋体" w:cs="宋体"/>
          <w:color w:val="auto"/>
          <w:sz w:val="24"/>
          <w:highlight w:val="none"/>
          <w:u w:val="single"/>
          <w:lang w:val="zh-CN"/>
        </w:rPr>
      </w:pP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法定代表人或授权委托人：</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（签字或盖章）</w:t>
      </w:r>
    </w:p>
    <w:p w14:paraId="25F99A8B">
      <w:pPr>
        <w:shd w:val="clear" w:color="auto" w:fill="auto"/>
        <w:autoSpaceDE w:val="0"/>
        <w:autoSpaceDN w:val="0"/>
        <w:adjustRightInd w:val="0"/>
        <w:spacing w:line="360" w:lineRule="auto"/>
        <w:jc w:val="right"/>
        <w:rPr>
          <w:rFonts w:hint="eastAsia" w:ascii="宋体" w:hAnsi="宋体" w:cs="宋体"/>
          <w:color w:val="auto"/>
          <w:sz w:val="24"/>
          <w:highlight w:val="none"/>
          <w:lang w:val="zh-CN"/>
        </w:rPr>
      </w:pP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日期：</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p>
    <w:p w14:paraId="721C4199">
      <w:pPr>
        <w:shd w:val="clear" w:color="auto" w:fill="auto"/>
        <w:rPr>
          <w:rFonts w:hint="eastAsia" w:ascii="宋体" w:hAnsi="宋体" w:cs="宋体"/>
          <w:color w:val="auto"/>
          <w:sz w:val="24"/>
          <w:szCs w:val="24"/>
          <w:highlight w:val="none"/>
        </w:rPr>
      </w:pPr>
    </w:p>
    <w:p w14:paraId="61F9F35E">
      <w:pPr>
        <w:shd w:val="clear" w:color="auto" w:fill="auto"/>
        <w:rPr>
          <w:rFonts w:hint="eastAsia" w:ascii="宋体" w:hAnsi="宋体" w:cs="宋体"/>
          <w:color w:val="auto"/>
          <w:sz w:val="24"/>
          <w:szCs w:val="24"/>
          <w:highlight w:val="none"/>
        </w:rPr>
      </w:pPr>
    </w:p>
    <w:p w14:paraId="7A2D6685">
      <w:pPr>
        <w:shd w:val="clear" w:color="auto" w:fill="auto"/>
        <w:rPr>
          <w:rFonts w:hint="eastAsia" w:ascii="宋体" w:hAnsi="宋体" w:cs="宋体"/>
          <w:color w:val="auto"/>
          <w:sz w:val="24"/>
          <w:szCs w:val="24"/>
          <w:highlight w:val="none"/>
        </w:rPr>
      </w:pPr>
    </w:p>
    <w:p w14:paraId="14578219">
      <w:pPr>
        <w:shd w:val="clear" w:color="auto" w:fill="auto"/>
        <w:rPr>
          <w:rFonts w:hint="eastAsia" w:ascii="宋体" w:hAnsi="宋体" w:eastAsia="宋体" w:cs="宋体"/>
          <w:b/>
          <w:bCs/>
          <w:sz w:val="28"/>
          <w:highlight w:val="none"/>
        </w:rPr>
      </w:pPr>
      <w:r>
        <w:rPr>
          <w:rFonts w:hint="eastAsia" w:ascii="宋体" w:hAnsi="宋体" w:cs="宋体"/>
          <w:bCs/>
          <w:color w:val="auto"/>
          <w:spacing w:val="10"/>
          <w:sz w:val="24"/>
          <w:szCs w:val="24"/>
          <w:highlight w:val="none"/>
        </w:rPr>
        <w:t>注：</w:t>
      </w:r>
      <w:r>
        <w:rPr>
          <w:rFonts w:hint="eastAsia" w:ascii="宋体" w:hAnsi="宋体"/>
          <w:sz w:val="24"/>
          <w:szCs w:val="24"/>
          <w:highlight w:val="none"/>
        </w:rPr>
        <w:t>以合同协议书</w:t>
      </w:r>
      <w:r>
        <w:rPr>
          <w:rFonts w:hint="eastAsia" w:ascii="宋体" w:hAnsi="宋体"/>
          <w:sz w:val="24"/>
          <w:szCs w:val="24"/>
          <w:highlight w:val="none"/>
          <w:lang w:eastAsia="zh-CN"/>
        </w:rPr>
        <w:t>原件扫描件</w:t>
      </w:r>
      <w:r>
        <w:rPr>
          <w:rFonts w:hint="eastAsia" w:ascii="宋体" w:hAnsi="宋体"/>
          <w:sz w:val="24"/>
          <w:szCs w:val="24"/>
          <w:highlight w:val="none"/>
        </w:rPr>
        <w:t>为准</w:t>
      </w:r>
      <w:r>
        <w:rPr>
          <w:rFonts w:hint="eastAsia" w:ascii="宋体" w:hAnsi="宋体" w:cs="宋体"/>
          <w:bCs/>
          <w:color w:val="auto"/>
          <w:spacing w:val="10"/>
          <w:sz w:val="24"/>
          <w:szCs w:val="24"/>
          <w:highlight w:val="none"/>
        </w:rPr>
        <w:t>。</w:t>
      </w:r>
      <w:bookmarkStart w:id="1334" w:name="_Toc16013"/>
      <w:bookmarkStart w:id="1335" w:name="_Toc20669"/>
      <w:bookmarkStart w:id="1336" w:name="_Toc12422"/>
      <w:bookmarkStart w:id="1337" w:name="_Toc20601_WPSOffice_Level1"/>
      <w:bookmarkStart w:id="1338" w:name="_Toc13387"/>
      <w:bookmarkStart w:id="1339" w:name="_Toc29243"/>
      <w:bookmarkStart w:id="1340" w:name="_Toc21174"/>
      <w:bookmarkStart w:id="1341" w:name="_Toc25608"/>
      <w:bookmarkStart w:id="1342" w:name="_Toc15446_WPSOffice_Level1"/>
    </w:p>
    <w:p w14:paraId="509F573F">
      <w:pPr>
        <w:jc w:val="center"/>
        <w:outlineLvl w:val="0"/>
        <w:rPr>
          <w:rFonts w:hint="eastAsia" w:ascii="宋体" w:hAnsi="宋体" w:eastAsia="宋体" w:cs="宋体"/>
          <w:b/>
          <w:bCs/>
          <w:sz w:val="28"/>
          <w:highlight w:val="none"/>
        </w:rPr>
      </w:pPr>
    </w:p>
    <w:p w14:paraId="25026597">
      <w:pPr>
        <w:jc w:val="center"/>
        <w:outlineLvl w:val="0"/>
        <w:rPr>
          <w:rFonts w:hint="eastAsia" w:ascii="宋体" w:hAnsi="宋体" w:eastAsia="宋体" w:cs="宋体"/>
          <w:b/>
          <w:bCs/>
          <w:sz w:val="28"/>
          <w:highlight w:val="none"/>
        </w:rPr>
      </w:pPr>
    </w:p>
    <w:p w14:paraId="79D0ECDD">
      <w:pPr>
        <w:jc w:val="center"/>
        <w:outlineLvl w:val="0"/>
        <w:rPr>
          <w:rFonts w:hint="eastAsia" w:ascii="宋体" w:hAnsi="宋体" w:eastAsia="宋体" w:cs="宋体"/>
          <w:b/>
          <w:bCs/>
          <w:sz w:val="28"/>
          <w:highlight w:val="none"/>
        </w:rPr>
      </w:pPr>
    </w:p>
    <w:p w14:paraId="14544165">
      <w:pPr>
        <w:jc w:val="center"/>
        <w:outlineLvl w:val="0"/>
        <w:rPr>
          <w:rFonts w:hint="eastAsia" w:ascii="宋体" w:hAnsi="宋体" w:eastAsia="宋体" w:cs="宋体"/>
          <w:b/>
          <w:bCs/>
          <w:sz w:val="28"/>
          <w:highlight w:val="none"/>
          <w:lang w:eastAsia="zh-CN"/>
        </w:rPr>
      </w:pPr>
      <w:bookmarkStart w:id="1343" w:name="_Toc13657"/>
      <w:bookmarkStart w:id="1344" w:name="_Toc3965"/>
      <w:r>
        <w:rPr>
          <w:rFonts w:hint="eastAsia" w:ascii="宋体" w:hAnsi="宋体" w:eastAsia="宋体" w:cs="宋体"/>
          <w:b/>
          <w:bCs/>
          <w:sz w:val="28"/>
          <w:highlight w:val="none"/>
        </w:rPr>
        <w:t>八、</w:t>
      </w:r>
      <w:bookmarkEnd w:id="1334"/>
      <w:bookmarkEnd w:id="1335"/>
      <w:bookmarkEnd w:id="1336"/>
      <w:bookmarkEnd w:id="1337"/>
      <w:bookmarkEnd w:id="1338"/>
      <w:bookmarkEnd w:id="1339"/>
      <w:bookmarkEnd w:id="1340"/>
      <w:bookmarkEnd w:id="1341"/>
      <w:bookmarkEnd w:id="1342"/>
      <w:r>
        <w:rPr>
          <w:rFonts w:hint="eastAsia" w:ascii="宋体" w:hAnsi="宋体" w:eastAsia="宋体" w:cs="宋体"/>
          <w:b/>
          <w:bCs/>
          <w:sz w:val="28"/>
          <w:highlight w:val="none"/>
        </w:rPr>
        <w:t>售后服务</w:t>
      </w:r>
      <w:r>
        <w:rPr>
          <w:rFonts w:hint="eastAsia" w:ascii="宋体" w:hAnsi="宋体" w:eastAsia="宋体" w:cs="宋体"/>
          <w:b/>
          <w:bCs/>
          <w:sz w:val="28"/>
          <w:highlight w:val="none"/>
          <w:lang w:eastAsia="zh-CN"/>
        </w:rPr>
        <w:t>方案</w:t>
      </w:r>
      <w:bookmarkEnd w:id="1343"/>
      <w:bookmarkEnd w:id="1344"/>
    </w:p>
    <w:p w14:paraId="6DAE40E9">
      <w:pPr>
        <w:pStyle w:val="22"/>
        <w:shd w:val="clear" w:color="auto" w:fill="auto"/>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（售后服务方案具体从</w:t>
      </w:r>
      <w:r>
        <w:rPr>
          <w:rFonts w:hint="eastAsia" w:ascii="宋体" w:hAnsi="宋体" w:eastAsia="宋体" w:cs="宋体"/>
          <w:color w:val="auto"/>
          <w:sz w:val="24"/>
          <w:szCs w:val="24"/>
          <w:highlight w:val="none"/>
          <w:lang w:val="en-US" w:eastAsia="zh-CN"/>
        </w:rPr>
        <w:t>服务方案、</w:t>
      </w:r>
      <w:r>
        <w:rPr>
          <w:rFonts w:hint="eastAsia" w:ascii="宋体" w:hAnsi="宋体" w:eastAsia="宋体" w:cs="宋体"/>
          <w:sz w:val="24"/>
          <w:szCs w:val="24"/>
          <w:highlight w:val="none"/>
          <w:lang w:eastAsia="zh-CN"/>
        </w:rPr>
        <w:t>服务响应时间</w:t>
      </w:r>
      <w:r>
        <w:rPr>
          <w:rFonts w:hint="eastAsia" w:ascii="宋体" w:hAnsi="宋体" w:eastAsia="宋体" w:cs="宋体"/>
          <w:color w:val="auto"/>
          <w:sz w:val="24"/>
          <w:szCs w:val="24"/>
          <w:highlight w:val="none"/>
          <w:lang w:val="en-US" w:eastAsia="zh-CN"/>
        </w:rPr>
        <w:t>等多个方面分别说明，</w:t>
      </w:r>
      <w:r>
        <w:rPr>
          <w:rFonts w:hint="eastAsia" w:ascii="宋体" w:hAnsi="宋体" w:eastAsia="宋体" w:cs="宋体"/>
          <w:color w:val="auto"/>
          <w:sz w:val="24"/>
          <w:szCs w:val="24"/>
          <w:highlight w:val="none"/>
          <w:lang w:eastAsia="zh-CN"/>
        </w:rPr>
        <w:t>格式自拟）</w:t>
      </w:r>
    </w:p>
    <w:p w14:paraId="52689981">
      <w:pPr>
        <w:jc w:val="center"/>
        <w:outlineLvl w:val="0"/>
        <w:rPr>
          <w:rFonts w:hint="eastAsia" w:ascii="宋体" w:hAnsi="宋体" w:eastAsia="宋体" w:cs="宋体"/>
          <w:b/>
          <w:bCs/>
          <w:sz w:val="28"/>
          <w:highlight w:val="none"/>
        </w:rPr>
      </w:pPr>
    </w:p>
    <w:p w14:paraId="320AF552">
      <w:pPr>
        <w:spacing w:line="360" w:lineRule="auto"/>
        <w:jc w:val="center"/>
        <w:outlineLvl w:val="0"/>
        <w:rPr>
          <w:rFonts w:hint="eastAsia" w:ascii="宋体" w:hAnsi="宋体" w:cs="宋体"/>
          <w:b/>
          <w:sz w:val="32"/>
          <w:szCs w:val="32"/>
          <w:highlight w:val="none"/>
        </w:rPr>
      </w:pPr>
    </w:p>
    <w:p w14:paraId="42F71797">
      <w:pPr>
        <w:spacing w:line="360" w:lineRule="auto"/>
        <w:jc w:val="center"/>
        <w:outlineLvl w:val="0"/>
        <w:rPr>
          <w:rFonts w:hint="eastAsia" w:ascii="宋体" w:hAnsi="宋体" w:cs="宋体"/>
          <w:b/>
          <w:sz w:val="32"/>
          <w:szCs w:val="32"/>
          <w:highlight w:val="none"/>
        </w:rPr>
      </w:pPr>
    </w:p>
    <w:p w14:paraId="6F67F329">
      <w:pPr>
        <w:spacing w:line="360" w:lineRule="auto"/>
        <w:jc w:val="center"/>
        <w:outlineLvl w:val="0"/>
        <w:rPr>
          <w:rFonts w:hint="eastAsia" w:ascii="宋体" w:hAnsi="宋体" w:cs="宋体"/>
          <w:b/>
          <w:sz w:val="32"/>
          <w:szCs w:val="32"/>
          <w:highlight w:val="none"/>
        </w:rPr>
      </w:pPr>
    </w:p>
    <w:p w14:paraId="4988B82D">
      <w:pPr>
        <w:spacing w:line="360" w:lineRule="auto"/>
        <w:jc w:val="center"/>
        <w:outlineLvl w:val="0"/>
        <w:rPr>
          <w:rFonts w:hint="eastAsia" w:ascii="宋体" w:hAnsi="宋体" w:cs="宋体"/>
          <w:b/>
          <w:sz w:val="32"/>
          <w:szCs w:val="32"/>
          <w:highlight w:val="none"/>
        </w:rPr>
      </w:pPr>
    </w:p>
    <w:p w14:paraId="168D54C6">
      <w:pPr>
        <w:spacing w:line="360" w:lineRule="auto"/>
        <w:jc w:val="center"/>
        <w:outlineLvl w:val="0"/>
        <w:rPr>
          <w:rFonts w:hint="eastAsia" w:ascii="宋体" w:hAnsi="宋体" w:cs="宋体"/>
          <w:b/>
          <w:sz w:val="32"/>
          <w:szCs w:val="32"/>
          <w:highlight w:val="none"/>
        </w:rPr>
      </w:pPr>
    </w:p>
    <w:p w14:paraId="6709FE0D">
      <w:pPr>
        <w:spacing w:line="360" w:lineRule="auto"/>
        <w:jc w:val="center"/>
        <w:outlineLvl w:val="0"/>
        <w:rPr>
          <w:rFonts w:hint="eastAsia" w:ascii="宋体" w:hAnsi="宋体" w:cs="宋体"/>
          <w:b/>
          <w:sz w:val="32"/>
          <w:szCs w:val="32"/>
          <w:highlight w:val="none"/>
        </w:rPr>
      </w:pPr>
    </w:p>
    <w:p w14:paraId="19098739">
      <w:pPr>
        <w:spacing w:line="360" w:lineRule="auto"/>
        <w:jc w:val="center"/>
        <w:outlineLvl w:val="0"/>
        <w:rPr>
          <w:rFonts w:hint="eastAsia" w:ascii="宋体" w:hAnsi="宋体" w:cs="宋体"/>
          <w:b/>
          <w:sz w:val="32"/>
          <w:szCs w:val="32"/>
          <w:highlight w:val="none"/>
        </w:rPr>
      </w:pPr>
    </w:p>
    <w:p w14:paraId="1BB57E98">
      <w:pPr>
        <w:spacing w:line="360" w:lineRule="auto"/>
        <w:jc w:val="center"/>
        <w:outlineLvl w:val="0"/>
        <w:rPr>
          <w:rFonts w:hint="eastAsia" w:ascii="宋体" w:hAnsi="宋体" w:cs="宋体"/>
          <w:b/>
          <w:sz w:val="32"/>
          <w:szCs w:val="32"/>
          <w:highlight w:val="none"/>
        </w:rPr>
      </w:pPr>
    </w:p>
    <w:p w14:paraId="6A2B316C">
      <w:pPr>
        <w:spacing w:line="360" w:lineRule="auto"/>
        <w:jc w:val="center"/>
        <w:outlineLvl w:val="0"/>
        <w:rPr>
          <w:rFonts w:hint="eastAsia" w:ascii="宋体" w:hAnsi="宋体" w:cs="宋体"/>
          <w:b/>
          <w:sz w:val="32"/>
          <w:szCs w:val="32"/>
          <w:highlight w:val="none"/>
        </w:rPr>
      </w:pPr>
    </w:p>
    <w:p w14:paraId="18D6297C">
      <w:pPr>
        <w:spacing w:line="360" w:lineRule="auto"/>
        <w:jc w:val="center"/>
        <w:outlineLvl w:val="0"/>
        <w:rPr>
          <w:rFonts w:hint="eastAsia" w:ascii="宋体" w:hAnsi="宋体" w:cs="宋体"/>
          <w:b/>
          <w:sz w:val="32"/>
          <w:szCs w:val="32"/>
          <w:highlight w:val="none"/>
        </w:rPr>
      </w:pPr>
    </w:p>
    <w:p w14:paraId="25DDA01B">
      <w:pPr>
        <w:spacing w:line="360" w:lineRule="auto"/>
        <w:jc w:val="center"/>
        <w:outlineLvl w:val="0"/>
        <w:rPr>
          <w:rFonts w:hint="eastAsia" w:ascii="宋体" w:hAnsi="宋体" w:cs="宋体"/>
          <w:b/>
          <w:sz w:val="32"/>
          <w:szCs w:val="32"/>
          <w:highlight w:val="none"/>
        </w:rPr>
      </w:pPr>
    </w:p>
    <w:p w14:paraId="79AD06C7">
      <w:pPr>
        <w:spacing w:line="360" w:lineRule="auto"/>
        <w:jc w:val="center"/>
        <w:outlineLvl w:val="0"/>
        <w:rPr>
          <w:rFonts w:hint="eastAsia" w:ascii="宋体" w:hAnsi="宋体" w:cs="宋体"/>
          <w:b/>
          <w:sz w:val="32"/>
          <w:szCs w:val="32"/>
          <w:highlight w:val="none"/>
        </w:rPr>
      </w:pPr>
    </w:p>
    <w:p w14:paraId="5F95F50F">
      <w:pPr>
        <w:spacing w:line="360" w:lineRule="auto"/>
        <w:jc w:val="center"/>
        <w:outlineLvl w:val="0"/>
        <w:rPr>
          <w:rFonts w:hint="eastAsia" w:ascii="宋体" w:hAnsi="宋体" w:cs="宋体"/>
          <w:b/>
          <w:sz w:val="32"/>
          <w:szCs w:val="32"/>
          <w:highlight w:val="none"/>
        </w:rPr>
      </w:pPr>
    </w:p>
    <w:p w14:paraId="0F8EC7FE">
      <w:pPr>
        <w:spacing w:line="360" w:lineRule="auto"/>
        <w:jc w:val="center"/>
        <w:outlineLvl w:val="0"/>
        <w:rPr>
          <w:rFonts w:hint="eastAsia" w:ascii="宋体" w:hAnsi="宋体" w:cs="宋体"/>
          <w:b/>
          <w:sz w:val="32"/>
          <w:szCs w:val="32"/>
          <w:highlight w:val="none"/>
        </w:rPr>
      </w:pPr>
    </w:p>
    <w:p w14:paraId="7BC02246">
      <w:pPr>
        <w:spacing w:line="360" w:lineRule="auto"/>
        <w:jc w:val="center"/>
        <w:outlineLvl w:val="0"/>
        <w:rPr>
          <w:rFonts w:hint="eastAsia" w:ascii="宋体" w:hAnsi="宋体" w:cs="宋体"/>
          <w:b/>
          <w:sz w:val="32"/>
          <w:szCs w:val="32"/>
          <w:highlight w:val="none"/>
        </w:rPr>
      </w:pPr>
    </w:p>
    <w:p w14:paraId="7972D7C5">
      <w:pPr>
        <w:spacing w:line="360" w:lineRule="auto"/>
        <w:jc w:val="center"/>
        <w:outlineLvl w:val="0"/>
        <w:rPr>
          <w:rFonts w:hint="eastAsia" w:ascii="宋体" w:hAnsi="宋体" w:cs="宋体"/>
          <w:b/>
          <w:sz w:val="32"/>
          <w:szCs w:val="32"/>
          <w:highlight w:val="none"/>
        </w:rPr>
      </w:pPr>
    </w:p>
    <w:p w14:paraId="43D2555C">
      <w:pPr>
        <w:jc w:val="both"/>
        <w:outlineLvl w:val="0"/>
        <w:rPr>
          <w:rFonts w:hint="eastAsia" w:ascii="宋体" w:hAnsi="宋体" w:eastAsia="宋体" w:cs="宋体"/>
          <w:b/>
          <w:bCs/>
          <w:sz w:val="28"/>
          <w:highlight w:val="none"/>
          <w:lang w:eastAsia="zh-CN"/>
        </w:rPr>
      </w:pPr>
    </w:p>
    <w:p w14:paraId="37552D4A">
      <w:pPr>
        <w:jc w:val="both"/>
        <w:outlineLvl w:val="0"/>
        <w:rPr>
          <w:rFonts w:hint="eastAsia" w:ascii="宋体" w:hAnsi="宋体" w:eastAsia="宋体" w:cs="宋体"/>
          <w:b/>
          <w:bCs/>
          <w:sz w:val="28"/>
          <w:highlight w:val="none"/>
          <w:lang w:eastAsia="zh-CN"/>
        </w:rPr>
      </w:pPr>
    </w:p>
    <w:p w14:paraId="18069C58">
      <w:pPr>
        <w:jc w:val="both"/>
        <w:outlineLvl w:val="0"/>
        <w:rPr>
          <w:rFonts w:hint="eastAsia" w:ascii="宋体" w:hAnsi="宋体" w:eastAsia="宋体" w:cs="宋体"/>
          <w:b/>
          <w:bCs/>
          <w:sz w:val="28"/>
          <w:highlight w:val="none"/>
          <w:lang w:eastAsia="zh-CN"/>
        </w:rPr>
      </w:pPr>
    </w:p>
    <w:p w14:paraId="69B6F138">
      <w:pPr>
        <w:jc w:val="center"/>
        <w:outlineLvl w:val="0"/>
        <w:rPr>
          <w:rFonts w:hint="eastAsia" w:ascii="宋体" w:hAnsi="宋体" w:eastAsia="宋体" w:cs="宋体"/>
          <w:b/>
          <w:bCs/>
          <w:sz w:val="28"/>
          <w:highlight w:val="none"/>
          <w:lang w:eastAsia="zh-CN"/>
        </w:rPr>
      </w:pPr>
      <w:bookmarkStart w:id="1345" w:name="_Toc11907"/>
      <w:bookmarkStart w:id="1346" w:name="_Toc10148"/>
      <w:r>
        <w:rPr>
          <w:rFonts w:hint="eastAsia" w:ascii="宋体" w:hAnsi="宋体" w:eastAsia="宋体" w:cs="宋体"/>
          <w:b/>
          <w:bCs/>
          <w:sz w:val="28"/>
          <w:highlight w:val="none"/>
          <w:lang w:eastAsia="zh-CN"/>
        </w:rPr>
        <w:t>九、关于所投产品承诺函</w:t>
      </w:r>
      <w:bookmarkEnd w:id="1345"/>
      <w:bookmarkEnd w:id="1346"/>
    </w:p>
    <w:p w14:paraId="0AB7A5FB">
      <w:pPr>
        <w:jc w:val="both"/>
        <w:outlineLvl w:val="0"/>
        <w:rPr>
          <w:rFonts w:hint="eastAsia" w:ascii="宋体" w:hAnsi="宋体" w:eastAsia="宋体" w:cs="宋体"/>
          <w:b/>
          <w:bCs/>
          <w:sz w:val="28"/>
          <w:highlight w:val="none"/>
          <w:lang w:eastAsia="zh-CN"/>
        </w:rPr>
      </w:pPr>
    </w:p>
    <w:p w14:paraId="310302FF">
      <w:pPr>
        <w:widowControl w:val="0"/>
        <w:shd w:val="clear" w:color="auto" w:fill="auto"/>
        <w:spacing w:line="360" w:lineRule="auto"/>
        <w:rPr>
          <w:rFonts w:hint="eastAsia" w:ascii="宋体" w:hAnsi="宋体" w:cs="宋体"/>
          <w:b/>
          <w:color w:val="auto"/>
          <w:sz w:val="24"/>
          <w:highlight w:val="none"/>
          <w:u w:val="single"/>
        </w:rPr>
      </w:pPr>
      <w:r>
        <w:rPr>
          <w:rFonts w:hint="eastAsia" w:ascii="宋体" w:hAnsi="宋体" w:cs="宋体"/>
          <w:b/>
          <w:color w:val="auto"/>
          <w:sz w:val="24"/>
          <w:highlight w:val="none"/>
        </w:rPr>
        <w:t>致：</w:t>
      </w:r>
      <w:r>
        <w:rPr>
          <w:rFonts w:hint="eastAsia" w:ascii="宋体" w:hAnsi="宋体" w:cs="宋体"/>
          <w:b/>
          <w:color w:val="auto"/>
          <w:sz w:val="24"/>
          <w:highlight w:val="none"/>
          <w:u w:val="single"/>
        </w:rPr>
        <w:t xml:space="preserve"> （采购人及采购代理机构） </w:t>
      </w:r>
    </w:p>
    <w:p w14:paraId="6285BE7C">
      <w:pPr>
        <w:widowControl w:val="0"/>
        <w:shd w:val="clear" w:color="auto" w:fill="auto"/>
        <w:spacing w:line="360" w:lineRule="auto"/>
        <w:ind w:firstLine="480" w:firstLineChars="200"/>
        <w:jc w:val="both"/>
        <w:rPr>
          <w:rFonts w:hint="eastAsia" w:ascii="宋体" w:hAnsi="宋体" w:cs="宋体"/>
          <w:color w:val="auto"/>
          <w:sz w:val="24"/>
          <w:szCs w:val="28"/>
          <w:highlight w:val="none"/>
        </w:rPr>
      </w:pPr>
      <w:r>
        <w:rPr>
          <w:rFonts w:hint="eastAsia" w:ascii="宋体" w:hAnsi="宋体" w:cs="宋体"/>
          <w:color w:val="auto"/>
          <w:sz w:val="24"/>
          <w:szCs w:val="28"/>
          <w:highlight w:val="none"/>
        </w:rPr>
        <w:t>我</w:t>
      </w:r>
      <w:r>
        <w:rPr>
          <w:rFonts w:hint="eastAsia" w:ascii="宋体" w:hAnsi="宋体" w:cs="宋体"/>
          <w:color w:val="auto"/>
          <w:sz w:val="24"/>
          <w:szCs w:val="28"/>
          <w:highlight w:val="none"/>
          <w:lang w:eastAsia="zh-CN"/>
        </w:rPr>
        <w:t>单位</w:t>
      </w:r>
      <w:r>
        <w:rPr>
          <w:rFonts w:hint="eastAsia" w:ascii="宋体" w:hAnsi="宋体" w:cs="宋体"/>
          <w:color w:val="auto"/>
          <w:sz w:val="24"/>
          <w:szCs w:val="28"/>
          <w:highlight w:val="none"/>
        </w:rPr>
        <w:t>在</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u w:val="single"/>
          <w:lang w:val="en-US" w:eastAsia="zh-CN"/>
        </w:rPr>
        <w:t xml:space="preserve">  </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u w:val="single"/>
          <w:lang w:val="en-US" w:eastAsia="zh-CN"/>
        </w:rPr>
        <w:t xml:space="preserve">  </w:t>
      </w:r>
      <w:r>
        <w:rPr>
          <w:rFonts w:hint="eastAsia" w:ascii="宋体" w:hAnsi="宋体" w:cs="宋体"/>
          <w:sz w:val="24"/>
          <w:highlight w:val="none"/>
        </w:rPr>
        <w:t>（项目名称</w:t>
      </w:r>
      <w:r>
        <w:rPr>
          <w:rFonts w:hint="eastAsia" w:ascii="宋体" w:hAnsi="宋体" w:cs="宋体"/>
          <w:sz w:val="24"/>
          <w:highlight w:val="none"/>
          <w:lang w:eastAsia="zh-CN"/>
        </w:rPr>
        <w:t>、</w:t>
      </w:r>
      <w:r>
        <w:rPr>
          <w:rFonts w:hint="eastAsia" w:ascii="宋体" w:hAnsi="宋体" w:cs="宋体"/>
          <w:sz w:val="24"/>
          <w:highlight w:val="none"/>
          <w:lang w:val="en-US" w:eastAsia="zh-CN"/>
        </w:rPr>
        <w:t>标段</w:t>
      </w:r>
      <w:r>
        <w:rPr>
          <w:rFonts w:hint="eastAsia" w:ascii="宋体" w:hAnsi="宋体" w:cs="宋体"/>
          <w:sz w:val="24"/>
          <w:highlight w:val="none"/>
        </w:rPr>
        <w:t>）</w:t>
      </w:r>
      <w:r>
        <w:rPr>
          <w:rFonts w:hint="eastAsia" w:ascii="宋体" w:hAnsi="宋体" w:cs="宋体"/>
          <w:sz w:val="24"/>
          <w:highlight w:val="none"/>
          <w:lang w:eastAsia="zh-CN"/>
        </w:rPr>
        <w:t>、</w:t>
      </w:r>
      <w:r>
        <w:rPr>
          <w:rFonts w:hint="eastAsia" w:ascii="宋体" w:hAnsi="宋体" w:cs="宋体"/>
          <w:color w:val="auto"/>
          <w:sz w:val="24"/>
          <w:szCs w:val="28"/>
          <w:highlight w:val="none"/>
          <w:u w:val="none"/>
          <w:lang w:eastAsia="zh-CN"/>
        </w:rPr>
        <w:t>（项目</w:t>
      </w:r>
      <w:r>
        <w:rPr>
          <w:rFonts w:hint="eastAsia" w:ascii="宋体" w:hAnsi="宋体" w:cs="宋体"/>
          <w:color w:val="auto"/>
          <w:sz w:val="24"/>
          <w:szCs w:val="28"/>
          <w:highlight w:val="none"/>
          <w:u w:val="none"/>
        </w:rPr>
        <w:t>编号：</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u w:val="none"/>
        </w:rPr>
        <w:t>）</w:t>
      </w:r>
      <w:r>
        <w:rPr>
          <w:rFonts w:hint="eastAsia" w:ascii="宋体" w:hAnsi="宋体" w:cs="宋体"/>
          <w:color w:val="auto"/>
          <w:sz w:val="24"/>
          <w:szCs w:val="28"/>
          <w:highlight w:val="none"/>
        </w:rPr>
        <w:t>中</w:t>
      </w:r>
      <w:r>
        <w:rPr>
          <w:rFonts w:hint="eastAsia" w:ascii="宋体" w:hAnsi="宋体" w:cs="宋体"/>
          <w:color w:val="auto"/>
          <w:sz w:val="24"/>
          <w:szCs w:val="28"/>
          <w:highlight w:val="none"/>
          <w:lang w:eastAsia="zh-CN"/>
        </w:rPr>
        <w:t>承诺，我单位所提供的产品证明材料均来自于原厂商，不存在弄虚作假行为，一经发现，</w:t>
      </w:r>
      <w:r>
        <w:rPr>
          <w:rFonts w:hint="eastAsia" w:ascii="宋体" w:hAnsi="宋体" w:cs="宋体"/>
          <w:color w:val="auto"/>
          <w:sz w:val="24"/>
          <w:szCs w:val="28"/>
          <w:highlight w:val="none"/>
        </w:rPr>
        <w:t>由此产生的一切法律后果和责任由我</w:t>
      </w:r>
      <w:r>
        <w:rPr>
          <w:rFonts w:hint="eastAsia" w:ascii="宋体" w:hAnsi="宋体" w:cs="宋体"/>
          <w:color w:val="auto"/>
          <w:sz w:val="24"/>
          <w:szCs w:val="28"/>
          <w:highlight w:val="none"/>
          <w:lang w:eastAsia="zh-CN"/>
        </w:rPr>
        <w:t>单位</w:t>
      </w:r>
      <w:r>
        <w:rPr>
          <w:rFonts w:hint="eastAsia" w:ascii="宋体" w:hAnsi="宋体" w:cs="宋体"/>
          <w:color w:val="auto"/>
          <w:sz w:val="24"/>
          <w:szCs w:val="28"/>
          <w:highlight w:val="none"/>
        </w:rPr>
        <w:t>承担</w:t>
      </w:r>
      <w:r>
        <w:rPr>
          <w:rFonts w:hint="eastAsia" w:ascii="宋体" w:hAnsi="宋体" w:cs="宋体"/>
          <w:color w:val="auto"/>
          <w:sz w:val="24"/>
          <w:szCs w:val="28"/>
          <w:highlight w:val="none"/>
          <w:lang w:eastAsia="zh-CN"/>
        </w:rPr>
        <w:t>，</w:t>
      </w:r>
      <w:r>
        <w:rPr>
          <w:rFonts w:hint="eastAsia" w:ascii="宋体" w:hAnsi="宋体" w:cs="宋体"/>
          <w:color w:val="auto"/>
          <w:sz w:val="24"/>
          <w:szCs w:val="28"/>
          <w:highlight w:val="none"/>
        </w:rPr>
        <w:t>若</w:t>
      </w:r>
      <w:r>
        <w:rPr>
          <w:rFonts w:hint="eastAsia" w:ascii="宋体" w:hAnsi="宋体" w:cs="宋体"/>
          <w:color w:val="auto"/>
          <w:sz w:val="24"/>
          <w:szCs w:val="28"/>
          <w:highlight w:val="none"/>
          <w:lang w:eastAsia="zh-CN"/>
        </w:rPr>
        <w:t>我单位中标</w:t>
      </w:r>
      <w:r>
        <w:rPr>
          <w:rFonts w:hint="eastAsia" w:ascii="宋体" w:hAnsi="宋体" w:cs="宋体"/>
          <w:color w:val="auto"/>
          <w:sz w:val="24"/>
          <w:szCs w:val="28"/>
          <w:highlight w:val="none"/>
        </w:rPr>
        <w:t>，</w:t>
      </w:r>
      <w:r>
        <w:rPr>
          <w:rFonts w:hint="eastAsia" w:ascii="宋体" w:hAnsi="宋体" w:cs="宋体"/>
          <w:color w:val="auto"/>
          <w:sz w:val="24"/>
          <w:szCs w:val="28"/>
          <w:highlight w:val="none"/>
          <w:lang w:eastAsia="zh-CN"/>
        </w:rPr>
        <w:t>将自动放弃中标资格。</w:t>
      </w:r>
    </w:p>
    <w:p w14:paraId="49FBF7CA">
      <w:pPr>
        <w:shd w:val="clear" w:color="auto" w:fill="auto"/>
        <w:spacing w:line="460" w:lineRule="exact"/>
        <w:ind w:firstLine="480" w:firstLineChars="200"/>
        <w:jc w:val="both"/>
        <w:rPr>
          <w:rFonts w:hint="eastAsia" w:ascii="宋体" w:hAnsi="宋体" w:cs="宋体"/>
          <w:color w:val="auto"/>
          <w:sz w:val="24"/>
          <w:szCs w:val="28"/>
          <w:highlight w:val="none"/>
        </w:rPr>
      </w:pPr>
    </w:p>
    <w:p w14:paraId="4F95D5AC">
      <w:pPr>
        <w:shd w:val="clear" w:color="auto" w:fill="auto"/>
        <w:spacing w:line="460" w:lineRule="exact"/>
        <w:ind w:firstLine="480" w:firstLineChars="200"/>
        <w:jc w:val="both"/>
        <w:rPr>
          <w:rFonts w:hint="eastAsia" w:ascii="宋体" w:hAnsi="宋体" w:cs="宋体"/>
          <w:color w:val="auto"/>
          <w:sz w:val="24"/>
          <w:szCs w:val="28"/>
          <w:highlight w:val="none"/>
        </w:rPr>
      </w:pPr>
      <w:r>
        <w:rPr>
          <w:rFonts w:hint="eastAsia" w:ascii="宋体" w:hAnsi="宋体" w:cs="宋体"/>
          <w:color w:val="auto"/>
          <w:sz w:val="24"/>
          <w:szCs w:val="28"/>
          <w:highlight w:val="none"/>
        </w:rPr>
        <w:t>特此承诺。</w:t>
      </w:r>
    </w:p>
    <w:p w14:paraId="0CFB8436">
      <w:pPr>
        <w:shd w:val="clear" w:color="auto" w:fill="auto"/>
        <w:spacing w:line="460" w:lineRule="exact"/>
        <w:ind w:firstLine="480" w:firstLineChars="200"/>
        <w:rPr>
          <w:rFonts w:hint="eastAsia" w:ascii="宋体" w:hAnsi="宋体" w:cs="宋体"/>
          <w:color w:val="auto"/>
          <w:sz w:val="24"/>
          <w:szCs w:val="28"/>
          <w:highlight w:val="none"/>
        </w:rPr>
      </w:pPr>
    </w:p>
    <w:p w14:paraId="62803947">
      <w:pPr>
        <w:shd w:val="clear" w:color="auto" w:fill="auto"/>
        <w:spacing w:line="520" w:lineRule="exact"/>
        <w:jc w:val="right"/>
        <w:rPr>
          <w:rFonts w:hint="eastAsia" w:ascii="宋体" w:hAnsi="宋体" w:cs="宋体"/>
          <w:color w:val="auto"/>
          <w:sz w:val="24"/>
          <w:highlight w:val="none"/>
        </w:rPr>
      </w:pPr>
    </w:p>
    <w:p w14:paraId="341CCA7D">
      <w:pPr>
        <w:shd w:val="clear" w:color="auto" w:fill="auto"/>
        <w:spacing w:line="520" w:lineRule="exact"/>
        <w:jc w:val="right"/>
        <w:rPr>
          <w:rFonts w:hint="eastAsia" w:ascii="宋体" w:hAnsi="宋体" w:cs="宋体"/>
          <w:color w:val="auto"/>
          <w:sz w:val="24"/>
          <w:highlight w:val="none"/>
        </w:rPr>
      </w:pPr>
    </w:p>
    <w:p w14:paraId="021FEB70">
      <w:pPr>
        <w:shd w:val="clear" w:color="auto" w:fill="auto"/>
        <w:spacing w:line="520" w:lineRule="exact"/>
        <w:jc w:val="right"/>
        <w:rPr>
          <w:rFonts w:hint="eastAsia" w:ascii="宋体" w:hAnsi="宋体" w:cs="宋体"/>
          <w:color w:val="auto"/>
          <w:sz w:val="24"/>
          <w:highlight w:val="none"/>
        </w:rPr>
      </w:pPr>
    </w:p>
    <w:p w14:paraId="42A0F971">
      <w:pPr>
        <w:shd w:val="clear" w:color="auto" w:fill="auto"/>
        <w:spacing w:line="440" w:lineRule="exact"/>
        <w:jc w:val="right"/>
        <w:rPr>
          <w:rFonts w:hint="eastAsia"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（盖单位公章）</w:t>
      </w:r>
    </w:p>
    <w:p w14:paraId="7A3D81BF">
      <w:pPr>
        <w:shd w:val="clear" w:color="auto" w:fill="auto"/>
        <w:rPr>
          <w:rFonts w:hint="eastAsia"/>
          <w:color w:val="auto"/>
          <w:highlight w:val="none"/>
        </w:rPr>
      </w:pPr>
    </w:p>
    <w:p w14:paraId="51642239">
      <w:pPr>
        <w:pStyle w:val="38"/>
        <w:shd w:val="clear" w:color="auto" w:fill="auto"/>
        <w:jc w:val="center"/>
        <w:rPr>
          <w:rFonts w:hint="eastAsia"/>
          <w:color w:val="auto"/>
          <w:highlight w:val="none"/>
        </w:rPr>
      </w:pPr>
      <w:r>
        <w:rPr>
          <w:rFonts w:hint="eastAsia" w:hAnsi="宋体"/>
          <w:bCs/>
          <w:color w:val="auto"/>
          <w:highlight w:val="none"/>
        </w:rPr>
        <w:t xml:space="preserve">                                法定代表人：</w:t>
      </w:r>
      <w:r>
        <w:rPr>
          <w:rFonts w:hint="eastAsia" w:hAnsi="宋体"/>
          <w:bCs/>
          <w:color w:val="auto"/>
          <w:highlight w:val="none"/>
          <w:u w:val="single"/>
        </w:rPr>
        <w:t xml:space="preserve">                 </w:t>
      </w:r>
      <w:r>
        <w:rPr>
          <w:rFonts w:hint="eastAsia" w:hAnsi="宋体"/>
          <w:bCs/>
          <w:color w:val="auto"/>
          <w:highlight w:val="none"/>
        </w:rPr>
        <w:t>（签字或盖章）</w:t>
      </w:r>
    </w:p>
    <w:p w14:paraId="2E5A3363">
      <w:pPr>
        <w:pStyle w:val="6"/>
        <w:shd w:val="clear" w:color="auto" w:fill="auto"/>
        <w:spacing w:line="480" w:lineRule="auto"/>
        <w:ind w:right="480" w:firstLine="480"/>
        <w:jc w:val="right"/>
        <w:rPr>
          <w:rFonts w:hint="eastAsia" w:hAnsi="宋体" w:eastAsia="宋体" w:cs="宋体"/>
          <w:color w:val="auto"/>
          <w:kern w:val="2"/>
          <w:szCs w:val="22"/>
          <w:highlight w:val="none"/>
          <w:lang w:val="en-US" w:eastAsia="zh-CN"/>
        </w:rPr>
      </w:pPr>
      <w:r>
        <w:rPr>
          <w:rFonts w:hint="eastAsia" w:hAnsi="宋体" w:eastAsia="宋体" w:cs="宋体"/>
          <w:color w:val="auto"/>
          <w:highlight w:val="none"/>
        </w:rPr>
        <w:t xml:space="preserve">     </w:t>
      </w:r>
      <w:r>
        <w:rPr>
          <w:rFonts w:hint="eastAsia" w:hAnsi="宋体" w:eastAsia="宋体" w:cs="宋体"/>
          <w:color w:val="auto"/>
          <w:highlight w:val="none"/>
          <w:u w:val="single"/>
        </w:rPr>
        <w:t xml:space="preserve"> </w:t>
      </w:r>
      <w:r>
        <w:rPr>
          <w:rFonts w:hint="eastAsia" w:hAnsi="宋体" w:eastAsia="宋体" w:cs="宋体"/>
          <w:color w:val="auto"/>
          <w:kern w:val="2"/>
          <w:szCs w:val="22"/>
          <w:highlight w:val="none"/>
          <w:u w:val="single"/>
          <w:lang w:val="en-US" w:eastAsia="zh-CN"/>
        </w:rPr>
        <w:t xml:space="preserve">    </w:t>
      </w:r>
      <w:r>
        <w:rPr>
          <w:rFonts w:hint="eastAsia" w:hAnsi="宋体" w:eastAsia="宋体" w:cs="宋体"/>
          <w:color w:val="auto"/>
          <w:kern w:val="2"/>
          <w:szCs w:val="22"/>
          <w:highlight w:val="none"/>
          <w:lang w:val="en-US" w:eastAsia="zh-CN"/>
        </w:rPr>
        <w:t>年</w:t>
      </w:r>
      <w:r>
        <w:rPr>
          <w:rFonts w:hint="eastAsia" w:hAnsi="宋体" w:eastAsia="宋体" w:cs="宋体"/>
          <w:color w:val="auto"/>
          <w:kern w:val="2"/>
          <w:szCs w:val="22"/>
          <w:highlight w:val="none"/>
          <w:u w:val="single"/>
          <w:lang w:val="en-US" w:eastAsia="zh-CN"/>
        </w:rPr>
        <w:t xml:space="preserve">     </w:t>
      </w:r>
      <w:r>
        <w:rPr>
          <w:rFonts w:hint="eastAsia" w:hAnsi="宋体" w:eastAsia="宋体" w:cs="宋体"/>
          <w:color w:val="auto"/>
          <w:kern w:val="2"/>
          <w:szCs w:val="22"/>
          <w:highlight w:val="none"/>
          <w:lang w:val="en-US" w:eastAsia="zh-CN"/>
        </w:rPr>
        <w:t>月</w:t>
      </w:r>
      <w:r>
        <w:rPr>
          <w:rFonts w:hint="eastAsia" w:hAnsi="宋体" w:eastAsia="宋体" w:cs="宋体"/>
          <w:color w:val="auto"/>
          <w:kern w:val="2"/>
          <w:szCs w:val="22"/>
          <w:highlight w:val="none"/>
          <w:u w:val="single"/>
          <w:lang w:val="en-US" w:eastAsia="zh-CN"/>
        </w:rPr>
        <w:t xml:space="preserve">     </w:t>
      </w:r>
      <w:r>
        <w:rPr>
          <w:rFonts w:hint="eastAsia" w:hAnsi="宋体" w:eastAsia="宋体" w:cs="宋体"/>
          <w:color w:val="auto"/>
          <w:kern w:val="2"/>
          <w:szCs w:val="22"/>
          <w:highlight w:val="none"/>
          <w:lang w:val="en-US" w:eastAsia="zh-CN"/>
        </w:rPr>
        <w:t>日</w:t>
      </w:r>
    </w:p>
    <w:p w14:paraId="6EA88EED">
      <w:pPr>
        <w:shd w:val="clear" w:color="auto" w:fill="auto"/>
        <w:spacing w:line="520" w:lineRule="exact"/>
        <w:jc w:val="center"/>
        <w:rPr>
          <w:rFonts w:hint="eastAsia" w:ascii="宋体" w:hAnsi="宋体" w:cs="宋体"/>
          <w:color w:val="auto"/>
          <w:sz w:val="24"/>
          <w:highlight w:val="none"/>
        </w:rPr>
      </w:pPr>
    </w:p>
    <w:p w14:paraId="24D693A2">
      <w:pPr>
        <w:jc w:val="both"/>
        <w:outlineLvl w:val="0"/>
        <w:rPr>
          <w:rFonts w:hint="eastAsia" w:ascii="宋体" w:hAnsi="宋体" w:eastAsia="宋体" w:cs="宋体"/>
          <w:b/>
          <w:bCs/>
          <w:sz w:val="28"/>
          <w:highlight w:val="none"/>
          <w:lang w:eastAsia="zh-CN"/>
        </w:rPr>
      </w:pPr>
    </w:p>
    <w:p w14:paraId="28746F31">
      <w:pPr>
        <w:jc w:val="center"/>
        <w:outlineLvl w:val="0"/>
        <w:rPr>
          <w:rFonts w:hint="eastAsia" w:ascii="宋体" w:hAnsi="宋体" w:eastAsia="宋体" w:cs="宋体"/>
          <w:b/>
          <w:bCs/>
          <w:sz w:val="28"/>
          <w:highlight w:val="none"/>
          <w:lang w:eastAsia="zh-CN"/>
        </w:rPr>
      </w:pPr>
    </w:p>
    <w:p w14:paraId="47F38AA8">
      <w:pPr>
        <w:jc w:val="center"/>
        <w:outlineLvl w:val="0"/>
        <w:rPr>
          <w:rFonts w:hint="eastAsia" w:ascii="宋体" w:hAnsi="宋体" w:eastAsia="宋体" w:cs="宋体"/>
          <w:b/>
          <w:bCs/>
          <w:sz w:val="28"/>
          <w:highlight w:val="none"/>
          <w:lang w:eastAsia="zh-CN"/>
        </w:rPr>
      </w:pPr>
    </w:p>
    <w:p w14:paraId="7D92C555">
      <w:pPr>
        <w:jc w:val="center"/>
        <w:outlineLvl w:val="0"/>
        <w:rPr>
          <w:rFonts w:hint="eastAsia" w:ascii="宋体" w:hAnsi="宋体" w:eastAsia="宋体" w:cs="宋体"/>
          <w:b/>
          <w:bCs/>
          <w:sz w:val="28"/>
          <w:highlight w:val="none"/>
          <w:lang w:eastAsia="zh-CN"/>
        </w:rPr>
      </w:pPr>
    </w:p>
    <w:p w14:paraId="37CF57CD">
      <w:pPr>
        <w:jc w:val="center"/>
        <w:outlineLvl w:val="0"/>
        <w:rPr>
          <w:rFonts w:hint="eastAsia" w:ascii="宋体" w:hAnsi="宋体" w:eastAsia="宋体" w:cs="宋体"/>
          <w:b/>
          <w:bCs/>
          <w:sz w:val="28"/>
          <w:highlight w:val="none"/>
          <w:lang w:eastAsia="zh-CN"/>
        </w:rPr>
      </w:pPr>
    </w:p>
    <w:p w14:paraId="519931C1">
      <w:pPr>
        <w:jc w:val="center"/>
        <w:outlineLvl w:val="0"/>
        <w:rPr>
          <w:rFonts w:hint="eastAsia" w:ascii="宋体" w:hAnsi="宋体" w:eastAsia="宋体" w:cs="宋体"/>
          <w:b/>
          <w:bCs/>
          <w:sz w:val="28"/>
          <w:highlight w:val="none"/>
          <w:lang w:eastAsia="zh-CN"/>
        </w:rPr>
      </w:pPr>
    </w:p>
    <w:p w14:paraId="7FB1F28F">
      <w:pPr>
        <w:jc w:val="both"/>
        <w:outlineLvl w:val="0"/>
        <w:rPr>
          <w:rFonts w:hint="eastAsia" w:ascii="宋体" w:hAnsi="宋体" w:eastAsia="宋体" w:cs="宋体"/>
          <w:b/>
          <w:bCs/>
          <w:sz w:val="28"/>
          <w:highlight w:val="none"/>
          <w:lang w:eastAsia="zh-CN"/>
        </w:rPr>
      </w:pPr>
    </w:p>
    <w:p w14:paraId="7B4986D9">
      <w:pPr>
        <w:jc w:val="center"/>
        <w:outlineLvl w:val="0"/>
        <w:rPr>
          <w:rFonts w:hint="eastAsia" w:ascii="宋体" w:hAnsi="宋体" w:cs="宋体"/>
          <w:b/>
          <w:sz w:val="32"/>
          <w:szCs w:val="32"/>
          <w:highlight w:val="none"/>
        </w:rPr>
      </w:pPr>
      <w:bookmarkStart w:id="1347" w:name="_Toc14930"/>
      <w:bookmarkStart w:id="1348" w:name="_Toc5571"/>
      <w:r>
        <w:rPr>
          <w:rFonts w:hint="eastAsia" w:ascii="宋体" w:hAnsi="宋体" w:eastAsia="宋体" w:cs="宋体"/>
          <w:b/>
          <w:bCs/>
          <w:sz w:val="32"/>
          <w:szCs w:val="32"/>
          <w:highlight w:val="none"/>
          <w:lang w:eastAsia="zh-CN"/>
        </w:rPr>
        <w:t>十</w:t>
      </w:r>
      <w:r>
        <w:rPr>
          <w:rFonts w:hint="eastAsia" w:ascii="宋体" w:hAnsi="宋体" w:eastAsia="宋体" w:cs="宋体"/>
          <w:b/>
          <w:bCs/>
          <w:sz w:val="32"/>
          <w:szCs w:val="32"/>
          <w:highlight w:val="none"/>
        </w:rPr>
        <w:t>、其他资料</w:t>
      </w:r>
      <w:bookmarkEnd w:id="1329"/>
      <w:bookmarkEnd w:id="1330"/>
      <w:bookmarkEnd w:id="1331"/>
      <w:bookmarkEnd w:id="1347"/>
      <w:bookmarkEnd w:id="1348"/>
    </w:p>
    <w:p w14:paraId="3ADD4D0E">
      <w:pPr>
        <w:spacing w:line="360" w:lineRule="auto"/>
        <w:jc w:val="center"/>
        <w:outlineLvl w:val="0"/>
        <w:rPr>
          <w:rFonts w:hint="eastAsia" w:ascii="宋体" w:hAnsi="宋体" w:eastAsia="宋体" w:cs="宋体"/>
          <w:b w:val="0"/>
          <w:bCs/>
          <w:color w:val="auto"/>
          <w:sz w:val="28"/>
          <w:szCs w:val="28"/>
          <w:highlight w:val="none"/>
        </w:rPr>
      </w:pPr>
      <w:bookmarkStart w:id="1349" w:name="_Toc5783"/>
      <w:bookmarkStart w:id="1350" w:name="_Toc28752"/>
      <w:r>
        <w:rPr>
          <w:rFonts w:hint="eastAsia" w:ascii="宋体" w:hAnsi="宋体" w:cs="宋体"/>
          <w:b w:val="0"/>
          <w:bCs/>
          <w:color w:val="auto"/>
          <w:sz w:val="28"/>
          <w:szCs w:val="28"/>
          <w:highlight w:val="none"/>
          <w:lang w:eastAsia="zh-CN"/>
        </w:rPr>
        <w:t>（</w:t>
      </w:r>
      <w:r>
        <w:rPr>
          <w:rFonts w:hint="eastAsia" w:ascii="宋体" w:hAnsi="宋体" w:cs="宋体"/>
          <w:b w:val="0"/>
          <w:bCs/>
          <w:color w:val="auto"/>
          <w:sz w:val="28"/>
          <w:szCs w:val="28"/>
          <w:highlight w:val="none"/>
          <w:lang w:val="en-US" w:eastAsia="zh-CN"/>
        </w:rPr>
        <w:t>一</w:t>
      </w:r>
      <w:r>
        <w:rPr>
          <w:rFonts w:hint="eastAsia" w:ascii="宋体" w:hAnsi="宋体" w:cs="宋体"/>
          <w:b w:val="0"/>
          <w:bCs/>
          <w:color w:val="auto"/>
          <w:sz w:val="28"/>
          <w:szCs w:val="28"/>
          <w:highlight w:val="none"/>
          <w:lang w:eastAsia="zh-CN"/>
        </w:rPr>
        <w:t>）</w:t>
      </w:r>
      <w:r>
        <w:rPr>
          <w:rFonts w:hint="eastAsia" w:ascii="宋体" w:hAnsi="宋体" w:eastAsia="宋体" w:cs="宋体"/>
          <w:b w:val="0"/>
          <w:bCs/>
          <w:color w:val="auto"/>
          <w:sz w:val="28"/>
          <w:szCs w:val="28"/>
          <w:highlight w:val="none"/>
        </w:rPr>
        <w:t>中小企业声明函</w:t>
      </w:r>
      <w:bookmarkEnd w:id="1349"/>
      <w:bookmarkEnd w:id="1350"/>
    </w:p>
    <w:p w14:paraId="051DE0D0">
      <w:pPr>
        <w:jc w:val="center"/>
        <w:rPr>
          <w:rFonts w:hint="eastAsia" w:ascii="宋体" w:hAnsi="宋体" w:eastAsia="宋体" w:cs="宋体"/>
          <w:b w:val="0"/>
          <w:bCs/>
          <w:iCs/>
          <w:color w:val="auto"/>
          <w:sz w:val="28"/>
          <w:szCs w:val="28"/>
          <w:highlight w:val="none"/>
        </w:rPr>
      </w:pPr>
      <w:r>
        <w:rPr>
          <w:rFonts w:hint="eastAsia" w:ascii="宋体" w:hAnsi="宋体" w:eastAsia="宋体" w:cs="宋体"/>
          <w:b w:val="0"/>
          <w:bCs/>
          <w:iCs/>
          <w:color w:val="auto"/>
          <w:sz w:val="28"/>
          <w:szCs w:val="28"/>
          <w:highlight w:val="none"/>
        </w:rPr>
        <w:t>（属于中小微企业的填写，不属于的无需填写此项内容）</w:t>
      </w:r>
    </w:p>
    <w:p w14:paraId="74934B3F">
      <w:pPr>
        <w:spacing w:line="360" w:lineRule="auto"/>
        <w:ind w:firstLine="480" w:firstLineChars="200"/>
        <w:rPr>
          <w:rFonts w:hint="eastAsia" w:ascii="宋体" w:hAnsi="宋体" w:eastAsia="宋体" w:cs="宋体"/>
          <w:b w:val="0"/>
          <w:bCs/>
          <w:color w:val="auto"/>
          <w:sz w:val="24"/>
          <w:szCs w:val="24"/>
          <w:highlight w:val="none"/>
        </w:rPr>
      </w:pPr>
    </w:p>
    <w:p w14:paraId="08EFCAF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本公司郑重声明，根据《政府采购促进中小企业发展管理办法》（财库﹝2020﹞46号）的规定，本公司参加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 xml:space="preserve"> 的</w:t>
      </w:r>
      <w:r>
        <w:rPr>
          <w:rFonts w:hint="eastAsia" w:ascii="宋体" w:hAnsi="宋体" w:cs="宋体"/>
          <w:sz w:val="24"/>
          <w:highlight w:val="none"/>
        </w:rPr>
        <w:t>（项目名称</w:t>
      </w:r>
      <w:r>
        <w:rPr>
          <w:rFonts w:hint="eastAsia" w:ascii="宋体" w:hAnsi="宋体" w:cs="宋体"/>
          <w:sz w:val="24"/>
          <w:highlight w:val="none"/>
          <w:lang w:eastAsia="zh-CN"/>
        </w:rPr>
        <w:t>、</w:t>
      </w:r>
      <w:r>
        <w:rPr>
          <w:rFonts w:hint="eastAsia" w:ascii="宋体" w:hAnsi="宋体" w:cs="宋体"/>
          <w:sz w:val="24"/>
          <w:highlight w:val="none"/>
          <w:lang w:val="en-US" w:eastAsia="zh-CN"/>
        </w:rPr>
        <w:t>标段</w:t>
      </w:r>
      <w:r>
        <w:rPr>
          <w:rFonts w:hint="eastAsia" w:ascii="宋体" w:hAnsi="宋体" w:cs="宋体"/>
          <w:sz w:val="24"/>
          <w:highlight w:val="none"/>
        </w:rPr>
        <w:t>）</w:t>
      </w:r>
      <w:r>
        <w:rPr>
          <w:rFonts w:hint="eastAsia" w:ascii="宋体" w:hAnsi="宋体" w:eastAsia="宋体" w:cs="宋体"/>
          <w:color w:val="auto"/>
          <w:sz w:val="24"/>
          <w:szCs w:val="24"/>
          <w:highlight w:val="none"/>
        </w:rPr>
        <w:t xml:space="preserve"> 采购活动，提供的货物全部由符合政策要求的中小企业制造，具体情况如下：</w:t>
      </w:r>
    </w:p>
    <w:p w14:paraId="0F78F93A">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 xml:space="preserve"> ，属于</w:t>
      </w:r>
      <w:r>
        <w:rPr>
          <w:rFonts w:hint="eastAsia" w:ascii="宋体" w:hAnsi="宋体" w:cs="宋体"/>
          <w:color w:val="auto"/>
          <w:sz w:val="24"/>
          <w:szCs w:val="24"/>
          <w:highlight w:val="none"/>
          <w:u w:val="single"/>
          <w:lang w:val="en-US" w:eastAsia="zh-CN"/>
        </w:rPr>
        <w:t xml:space="preserve"> （零售业）  </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 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 小型企业、 微型企业）</w:t>
      </w:r>
      <w:r>
        <w:rPr>
          <w:rFonts w:hint="eastAsia" w:ascii="宋体" w:hAnsi="宋体" w:eastAsia="宋体" w:cs="宋体"/>
          <w:color w:val="auto"/>
          <w:sz w:val="24"/>
          <w:szCs w:val="24"/>
          <w:highlight w:val="none"/>
        </w:rPr>
        <w:t>；</w:t>
      </w:r>
    </w:p>
    <w:p w14:paraId="196C134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本企业不属于大企业的分支机构，不存在控股股东为大企业的情形，也不存在与大企业的负责人为同一人的情形。</w:t>
      </w:r>
    </w:p>
    <w:p w14:paraId="6BB9713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514673E7">
      <w:pPr>
        <w:spacing w:line="360" w:lineRule="auto"/>
        <w:ind w:firstLine="480" w:firstLine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3EF6A17B">
      <w:pPr>
        <w:spacing w:line="360" w:lineRule="auto"/>
        <w:ind w:firstLine="480" w:firstLineChars="200"/>
        <w:jc w:val="center"/>
        <w:rPr>
          <w:rFonts w:hint="eastAsia" w:ascii="宋体" w:hAnsi="宋体" w:eastAsia="宋体" w:cs="宋体"/>
          <w:color w:val="auto"/>
          <w:sz w:val="24"/>
          <w:szCs w:val="24"/>
          <w:highlight w:val="none"/>
          <w:lang w:val="en-US" w:eastAsia="zh-CN"/>
        </w:rPr>
      </w:pPr>
    </w:p>
    <w:p w14:paraId="079F7601">
      <w:pPr>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企业名称（盖章）：</w:t>
      </w:r>
    </w:p>
    <w:p w14:paraId="651D4A89">
      <w:pPr>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p>
    <w:p w14:paraId="25DC013C">
      <w:pPr>
        <w:spacing w:line="360" w:lineRule="auto"/>
        <w:ind w:firstLine="480" w:firstLineChars="200"/>
        <w:rPr>
          <w:rFonts w:hint="eastAsia" w:ascii="宋体" w:hAnsi="宋体" w:eastAsia="宋体" w:cs="宋体"/>
          <w:color w:val="auto"/>
          <w:sz w:val="24"/>
          <w:szCs w:val="24"/>
          <w:highlight w:val="none"/>
        </w:rPr>
      </w:pPr>
    </w:p>
    <w:p w14:paraId="5A121680">
      <w:pPr>
        <w:spacing w:line="360" w:lineRule="auto"/>
        <w:ind w:firstLine="480" w:firstLineChars="200"/>
        <w:rPr>
          <w:rFonts w:hint="eastAsia" w:ascii="宋体" w:hAnsi="宋体" w:eastAsia="宋体" w:cs="宋体"/>
          <w:color w:val="auto"/>
          <w:sz w:val="24"/>
          <w:szCs w:val="24"/>
          <w:highlight w:val="none"/>
        </w:rPr>
      </w:pPr>
    </w:p>
    <w:p w14:paraId="6EB358F6">
      <w:pPr>
        <w:spacing w:line="360" w:lineRule="auto"/>
        <w:ind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注：从业人员、营业收入、资产总额填报上一年度数据，无上一年度数据的新成立企业可不填报。</w:t>
      </w:r>
    </w:p>
    <w:p w14:paraId="0DF5DC33">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1"/>
          <w:szCs w:val="21"/>
          <w:highlight w:val="none"/>
        </w:rPr>
      </w:pPr>
    </w:p>
    <w:p w14:paraId="207ACADF">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1"/>
          <w:szCs w:val="21"/>
          <w:highlight w:val="none"/>
        </w:rPr>
      </w:pPr>
    </w:p>
    <w:p w14:paraId="4D9A79F7">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1"/>
          <w:szCs w:val="21"/>
          <w:highlight w:val="none"/>
        </w:rPr>
      </w:pPr>
    </w:p>
    <w:p w14:paraId="5D765583">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1"/>
          <w:szCs w:val="21"/>
          <w:highlight w:val="none"/>
        </w:rPr>
      </w:pPr>
    </w:p>
    <w:p w14:paraId="425AB6F9">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1"/>
          <w:szCs w:val="21"/>
          <w:highlight w:val="none"/>
        </w:rPr>
      </w:pPr>
    </w:p>
    <w:p w14:paraId="4691A0C5">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1"/>
          <w:szCs w:val="21"/>
          <w:highlight w:val="none"/>
        </w:rPr>
      </w:pPr>
    </w:p>
    <w:p w14:paraId="1F54B9A1">
      <w:pPr>
        <w:pStyle w:val="38"/>
        <w:rPr>
          <w:rFonts w:hint="eastAsia"/>
          <w:highlight w:val="none"/>
        </w:rPr>
      </w:pPr>
    </w:p>
    <w:p w14:paraId="617530F8">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附件：</w:t>
      </w:r>
      <w:r>
        <w:rPr>
          <w:rFonts w:hint="eastAsia" w:ascii="宋体" w:hAnsi="宋体" w:eastAsia="宋体" w:cs="宋体"/>
          <w:b/>
          <w:bCs/>
          <w:color w:val="auto"/>
          <w:sz w:val="28"/>
          <w:szCs w:val="28"/>
          <w:highlight w:val="none"/>
          <w:lang w:val="en-US" w:eastAsia="zh-CN"/>
        </w:rPr>
        <w:t xml:space="preserve">                        </w:t>
      </w:r>
    </w:p>
    <w:p w14:paraId="5B3C447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中小企业划型标准规定</w:t>
      </w:r>
    </w:p>
    <w:p w14:paraId="79F1C2F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一、根据《中华人民共和国中小企业促进法》和《国务院关于进一步促进中小企业发展的若干意见》（国发〔2009〕36号)，制定本规定。</w:t>
      </w:r>
    </w:p>
    <w:p w14:paraId="07C32D7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二、中小企业划分为中型、小型、微型三种类型，具体标准根据企业从业人员、营业收入、资产总额等指标，结合行业特点制定。</w:t>
      </w:r>
    </w:p>
    <w:p w14:paraId="3A8B86E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AC026C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四、各行业划型标准为：</w:t>
      </w:r>
    </w:p>
    <w:p w14:paraId="4AB1C6E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（一）农、林、牧、渔业。营业收入20000万元以下的为中小微型企业。其中，营业收入500万元及以上的为中型企业，营业收入50万元及以上的为小型企业，营业收入50万元以下的为微型企业。</w:t>
      </w:r>
    </w:p>
    <w:p w14:paraId="39EF0C6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BDDE0D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46DDD0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ADC3C7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5208DD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94D2F1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F07C49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5E0D50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2DDA66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028118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3E1452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2D4B38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928417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2CA4D8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AF9C28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（十六）其他未列明行业。从业人员300人以下的为中小微型企业。其中，从业人员100人及以上的为中型企业；从业人员10人及以上的为小型企业；从业人员10人以下的为微型企业。</w:t>
      </w:r>
    </w:p>
    <w:p w14:paraId="019B1C2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五、企业类型的划分以统计部门的统计数据为依据。</w:t>
      </w:r>
    </w:p>
    <w:p w14:paraId="40AC40A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六、本规定适用于在中华人民共和国境内依法设立的各类所有制和各种组织形式的企业。个体工商户和本规定以外的行业，参照本规定进行划型。</w:t>
      </w:r>
    </w:p>
    <w:p w14:paraId="5C6B161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72DE913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八、本规定由工业和信息化部、国家统计局会同有关部门根据《国民经济行业分类》修订情况和企业发展变化情况适时修订。</w:t>
      </w:r>
    </w:p>
    <w:p w14:paraId="6CBC88D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九、本规定由工业和信息化部、国家统计局会同有关部门负责解释。</w:t>
      </w:r>
    </w:p>
    <w:p w14:paraId="61B47A0A">
      <w:pPr>
        <w:spacing w:line="360" w:lineRule="auto"/>
        <w:ind w:firstLine="420"/>
        <w:jc w:val="center"/>
        <w:outlineLvl w:val="0"/>
        <w:rPr>
          <w:rFonts w:hint="eastAsia" w:ascii="宋体" w:hAnsi="宋体" w:eastAsia="宋体" w:cs="宋体"/>
          <w:color w:val="auto"/>
          <w:sz w:val="21"/>
          <w:szCs w:val="21"/>
          <w:highlight w:val="none"/>
        </w:rPr>
      </w:pPr>
      <w:bookmarkStart w:id="1351" w:name="_Toc27504"/>
      <w:r>
        <w:rPr>
          <w:rFonts w:hint="eastAsia" w:ascii="宋体" w:hAnsi="宋体" w:eastAsia="宋体" w:cs="宋体"/>
          <w:color w:val="auto"/>
          <w:sz w:val="21"/>
          <w:szCs w:val="21"/>
          <w:highlight w:val="none"/>
        </w:rPr>
        <w:t>十、本规定自发布之日起执行，原国家经贸委、原国家计委、财政部和国家统计局2003年颁布的《中小企业标准暂行规定》国经贸中小企[2003]143号同时废止。</w:t>
      </w:r>
      <w:bookmarkEnd w:id="1351"/>
    </w:p>
    <w:p w14:paraId="0D38EACC">
      <w:pPr>
        <w:pStyle w:val="14"/>
        <w:ind w:left="0" w:leftChars="0" w:firstLine="0" w:firstLineChars="0"/>
        <w:rPr>
          <w:rFonts w:hint="eastAsia" w:ascii="宋体" w:hAnsi="宋体" w:eastAsia="宋体" w:cs="宋体"/>
          <w:color w:val="auto"/>
          <w:highlight w:val="none"/>
        </w:rPr>
      </w:pPr>
    </w:p>
    <w:p w14:paraId="1F7F51FE">
      <w:pPr>
        <w:spacing w:line="360" w:lineRule="auto"/>
        <w:jc w:val="center"/>
        <w:outlineLvl w:val="0"/>
        <w:rPr>
          <w:rFonts w:hint="eastAsia" w:ascii="宋体" w:hAnsi="宋体" w:cs="宋体"/>
          <w:b/>
          <w:bCs/>
          <w:color w:val="auto"/>
          <w:sz w:val="32"/>
          <w:szCs w:val="32"/>
          <w:highlight w:val="none"/>
          <w:lang w:eastAsia="zh-CN"/>
        </w:rPr>
      </w:pPr>
      <w:bookmarkStart w:id="1352" w:name="_Toc10664"/>
      <w:bookmarkStart w:id="1353" w:name="_Toc14944"/>
    </w:p>
    <w:p w14:paraId="35261E98">
      <w:pPr>
        <w:spacing w:line="360" w:lineRule="auto"/>
        <w:jc w:val="center"/>
        <w:outlineLvl w:val="0"/>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eastAsia="zh-CN"/>
        </w:rPr>
        <w:t>（</w:t>
      </w:r>
      <w:r>
        <w:rPr>
          <w:rFonts w:hint="eastAsia" w:ascii="宋体" w:hAnsi="宋体" w:cs="宋体"/>
          <w:b/>
          <w:bCs/>
          <w:color w:val="auto"/>
          <w:sz w:val="32"/>
          <w:szCs w:val="32"/>
          <w:highlight w:val="none"/>
          <w:lang w:val="en-US" w:eastAsia="zh-CN"/>
        </w:rPr>
        <w:t>二</w:t>
      </w:r>
      <w:r>
        <w:rPr>
          <w:rFonts w:hint="eastAsia" w:ascii="宋体" w:hAnsi="宋体" w:cs="宋体"/>
          <w:b/>
          <w:bCs/>
          <w:color w:val="auto"/>
          <w:sz w:val="32"/>
          <w:szCs w:val="32"/>
          <w:highlight w:val="none"/>
          <w:lang w:eastAsia="zh-CN"/>
        </w:rPr>
        <w:t>）</w:t>
      </w:r>
      <w:r>
        <w:rPr>
          <w:rFonts w:hint="eastAsia" w:ascii="宋体" w:hAnsi="宋体" w:eastAsia="宋体" w:cs="宋体"/>
          <w:b/>
          <w:bCs/>
          <w:color w:val="auto"/>
          <w:sz w:val="32"/>
          <w:szCs w:val="32"/>
          <w:highlight w:val="none"/>
        </w:rPr>
        <w:t>残疾人福利性单位声明函</w:t>
      </w:r>
      <w:bookmarkEnd w:id="1352"/>
      <w:bookmarkEnd w:id="1353"/>
    </w:p>
    <w:p w14:paraId="0FF02C0F">
      <w:pPr>
        <w:jc w:val="center"/>
        <w:rPr>
          <w:rFonts w:hint="eastAsia" w:ascii="宋体" w:hAnsi="宋体" w:eastAsia="宋体" w:cs="宋体"/>
          <w:b/>
          <w:bCs/>
          <w:color w:val="auto"/>
          <w:sz w:val="32"/>
          <w:szCs w:val="32"/>
          <w:highlight w:val="none"/>
        </w:rPr>
      </w:pPr>
      <w:r>
        <w:rPr>
          <w:rFonts w:hint="eastAsia" w:ascii="宋体" w:hAnsi="宋体" w:eastAsia="宋体" w:cs="宋体"/>
          <w:b/>
          <w:bCs/>
          <w:iCs/>
          <w:color w:val="auto"/>
          <w:sz w:val="24"/>
          <w:szCs w:val="24"/>
          <w:highlight w:val="none"/>
        </w:rPr>
        <w:t>（属于残疾人福利性单位的填写，不属于的无需填写此项内容）</w:t>
      </w:r>
    </w:p>
    <w:p w14:paraId="6244528D">
      <w:pPr>
        <w:snapToGrid w:val="0"/>
        <w:spacing w:line="520" w:lineRule="exact"/>
        <w:ind w:left="1177" w:leftChars="-72" w:right="84" w:rightChars="40" w:hanging="1328" w:hangingChars="415"/>
        <w:jc w:val="center"/>
        <w:rPr>
          <w:rFonts w:hint="eastAsia" w:ascii="宋体" w:hAnsi="宋体" w:eastAsia="宋体" w:cs="宋体"/>
          <w:color w:val="auto"/>
          <w:sz w:val="32"/>
          <w:szCs w:val="32"/>
          <w:highlight w:val="none"/>
        </w:rPr>
      </w:pPr>
    </w:p>
    <w:p w14:paraId="58AB25E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sz w:val="24"/>
          <w:highlight w:val="none"/>
        </w:rPr>
        <w:t>（项目名称</w:t>
      </w:r>
      <w:r>
        <w:rPr>
          <w:rFonts w:hint="eastAsia" w:ascii="宋体" w:hAnsi="宋体" w:cs="宋体"/>
          <w:sz w:val="24"/>
          <w:highlight w:val="none"/>
          <w:lang w:eastAsia="zh-CN"/>
        </w:rPr>
        <w:t>、</w:t>
      </w:r>
      <w:r>
        <w:rPr>
          <w:rFonts w:hint="eastAsia" w:ascii="宋体" w:hAnsi="宋体" w:cs="宋体"/>
          <w:sz w:val="24"/>
          <w:highlight w:val="none"/>
          <w:lang w:val="en-US" w:eastAsia="zh-CN"/>
        </w:rPr>
        <w:t>标段</w:t>
      </w:r>
      <w:r>
        <w:rPr>
          <w:rFonts w:hint="eastAsia" w:ascii="宋体" w:hAnsi="宋体" w:cs="宋体"/>
          <w:sz w:val="24"/>
          <w:highlight w:val="none"/>
        </w:rPr>
        <w:t>）</w:t>
      </w:r>
      <w:r>
        <w:rPr>
          <w:rFonts w:hint="eastAsia" w:ascii="宋体" w:hAnsi="宋体" w:eastAsia="宋体" w:cs="宋体"/>
          <w:color w:val="auto"/>
          <w:sz w:val="24"/>
          <w:szCs w:val="24"/>
          <w:highlight w:val="none"/>
        </w:rPr>
        <w:t>采购活动，提供本单位制造的货物，或者提供其他残疾人福利性单位制造的货物（不包括使用非残疾人福利性单位注册商标的货物）。</w:t>
      </w:r>
    </w:p>
    <w:p w14:paraId="1AF66964">
      <w:pPr>
        <w:spacing w:line="360" w:lineRule="auto"/>
        <w:ind w:firstLine="480" w:firstLineChars="200"/>
        <w:rPr>
          <w:rFonts w:hint="eastAsia" w:ascii="宋体" w:hAnsi="宋体" w:eastAsia="宋体" w:cs="宋体"/>
          <w:b/>
          <w:bCs/>
          <w:color w:val="auto"/>
          <w:sz w:val="32"/>
          <w:szCs w:val="32"/>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15E9D98F">
      <w:pPr>
        <w:spacing w:line="360" w:lineRule="auto"/>
        <w:jc w:val="center"/>
        <w:rPr>
          <w:rFonts w:hint="eastAsia" w:ascii="宋体" w:hAnsi="宋体" w:eastAsia="宋体" w:cs="宋体"/>
          <w:b/>
          <w:bCs/>
          <w:color w:val="auto"/>
          <w:sz w:val="32"/>
          <w:szCs w:val="32"/>
          <w:highlight w:val="none"/>
        </w:rPr>
      </w:pPr>
    </w:p>
    <w:p w14:paraId="0E0EAC22">
      <w:pPr>
        <w:spacing w:line="360" w:lineRule="auto"/>
        <w:ind w:firstLine="480" w:firstLine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3F8BB6C0">
      <w:pPr>
        <w:spacing w:line="360" w:lineRule="auto"/>
        <w:ind w:firstLine="480" w:firstLineChars="200"/>
        <w:jc w:val="center"/>
        <w:rPr>
          <w:rFonts w:hint="eastAsia" w:ascii="宋体" w:hAnsi="宋体" w:eastAsia="宋体" w:cs="宋体"/>
          <w:color w:val="auto"/>
          <w:sz w:val="24"/>
          <w:szCs w:val="24"/>
          <w:highlight w:val="none"/>
          <w:lang w:val="en-US" w:eastAsia="zh-CN"/>
        </w:rPr>
      </w:pPr>
    </w:p>
    <w:p w14:paraId="43FF482A">
      <w:pPr>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单位</w:t>
      </w:r>
      <w:r>
        <w:rPr>
          <w:rFonts w:hint="eastAsia" w:ascii="宋体" w:hAnsi="宋体" w:eastAsia="宋体" w:cs="宋体"/>
          <w:color w:val="auto"/>
          <w:sz w:val="24"/>
          <w:szCs w:val="24"/>
          <w:highlight w:val="none"/>
        </w:rPr>
        <w:t>名称（盖章）：</w:t>
      </w:r>
    </w:p>
    <w:p w14:paraId="1B230EEF">
      <w:pPr>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p>
    <w:p w14:paraId="54FC3DE3">
      <w:pPr>
        <w:spacing w:line="360" w:lineRule="auto"/>
        <w:jc w:val="center"/>
        <w:rPr>
          <w:rFonts w:hint="eastAsia" w:ascii="宋体" w:hAnsi="宋体" w:eastAsia="宋体" w:cs="宋体"/>
          <w:b/>
          <w:bCs/>
          <w:color w:val="auto"/>
          <w:sz w:val="32"/>
          <w:szCs w:val="32"/>
          <w:highlight w:val="none"/>
        </w:rPr>
      </w:pPr>
    </w:p>
    <w:p w14:paraId="469CCF89">
      <w:pPr>
        <w:spacing w:line="360" w:lineRule="auto"/>
        <w:rPr>
          <w:rFonts w:hint="eastAsia" w:ascii="宋体" w:hAnsi="宋体" w:eastAsia="宋体" w:cs="宋体"/>
          <w:b/>
          <w:bCs/>
          <w:color w:val="auto"/>
          <w:sz w:val="32"/>
          <w:szCs w:val="32"/>
          <w:highlight w:val="none"/>
        </w:rPr>
      </w:pPr>
    </w:p>
    <w:p w14:paraId="4608F608">
      <w:pPr>
        <w:spacing w:line="360" w:lineRule="auto"/>
        <w:rPr>
          <w:rFonts w:hint="eastAsia" w:ascii="宋体" w:hAnsi="宋体" w:eastAsia="宋体" w:cs="宋体"/>
          <w:b/>
          <w:bCs/>
          <w:color w:val="auto"/>
          <w:sz w:val="32"/>
          <w:szCs w:val="32"/>
          <w:highlight w:val="none"/>
        </w:rPr>
      </w:pPr>
    </w:p>
    <w:p w14:paraId="0426109B">
      <w:pPr>
        <w:spacing w:line="360" w:lineRule="auto"/>
        <w:rPr>
          <w:rFonts w:hint="eastAsia" w:ascii="宋体" w:hAnsi="宋体" w:eastAsia="宋体" w:cs="宋体"/>
          <w:b/>
          <w:bCs/>
          <w:color w:val="auto"/>
          <w:sz w:val="32"/>
          <w:szCs w:val="32"/>
          <w:highlight w:val="none"/>
        </w:rPr>
      </w:pPr>
    </w:p>
    <w:p w14:paraId="24EC1C68">
      <w:pPr>
        <w:spacing w:line="360" w:lineRule="auto"/>
        <w:rPr>
          <w:rFonts w:hint="eastAsia" w:ascii="宋体" w:hAnsi="宋体" w:eastAsia="宋体" w:cs="宋体"/>
          <w:b/>
          <w:bCs/>
          <w:color w:val="auto"/>
          <w:sz w:val="32"/>
          <w:szCs w:val="32"/>
          <w:highlight w:val="none"/>
        </w:rPr>
      </w:pPr>
    </w:p>
    <w:p w14:paraId="758B4239">
      <w:pPr>
        <w:spacing w:line="360" w:lineRule="auto"/>
        <w:rPr>
          <w:rFonts w:hint="eastAsia" w:ascii="宋体" w:hAnsi="宋体" w:eastAsia="宋体" w:cs="宋体"/>
          <w:b/>
          <w:bCs/>
          <w:color w:val="auto"/>
          <w:sz w:val="32"/>
          <w:szCs w:val="32"/>
          <w:highlight w:val="none"/>
        </w:rPr>
      </w:pPr>
    </w:p>
    <w:p w14:paraId="0EEE2740">
      <w:pPr>
        <w:spacing w:line="360" w:lineRule="auto"/>
        <w:rPr>
          <w:rFonts w:hint="eastAsia" w:ascii="宋体" w:hAnsi="宋体" w:eastAsia="宋体" w:cs="宋体"/>
          <w:b/>
          <w:bCs/>
          <w:color w:val="auto"/>
          <w:sz w:val="32"/>
          <w:szCs w:val="32"/>
          <w:highlight w:val="none"/>
        </w:rPr>
      </w:pPr>
    </w:p>
    <w:p w14:paraId="7306A721">
      <w:pPr>
        <w:spacing w:line="360" w:lineRule="auto"/>
        <w:rPr>
          <w:rFonts w:hint="eastAsia" w:ascii="宋体" w:hAnsi="宋体" w:eastAsia="宋体" w:cs="宋体"/>
          <w:b/>
          <w:bCs/>
          <w:color w:val="auto"/>
          <w:sz w:val="32"/>
          <w:szCs w:val="32"/>
          <w:highlight w:val="none"/>
        </w:rPr>
      </w:pPr>
    </w:p>
    <w:p w14:paraId="39F9CEC0">
      <w:pPr>
        <w:spacing w:line="360" w:lineRule="auto"/>
        <w:rPr>
          <w:rFonts w:hint="eastAsia" w:ascii="宋体" w:hAnsi="宋体" w:eastAsia="宋体" w:cs="宋体"/>
          <w:b/>
          <w:bCs/>
          <w:color w:val="auto"/>
          <w:sz w:val="32"/>
          <w:szCs w:val="32"/>
          <w:highlight w:val="none"/>
        </w:rPr>
      </w:pPr>
    </w:p>
    <w:p w14:paraId="4BFD99ED">
      <w:pPr>
        <w:spacing w:line="360" w:lineRule="auto"/>
        <w:jc w:val="center"/>
        <w:rPr>
          <w:rFonts w:hint="eastAsia" w:ascii="宋体" w:hAnsi="宋体" w:eastAsia="宋体" w:cs="宋体"/>
          <w:b/>
          <w:bCs/>
          <w:color w:val="auto"/>
          <w:sz w:val="32"/>
          <w:szCs w:val="32"/>
          <w:highlight w:val="none"/>
        </w:rPr>
      </w:pPr>
    </w:p>
    <w:p w14:paraId="33D92325">
      <w:pPr>
        <w:spacing w:line="360" w:lineRule="auto"/>
        <w:jc w:val="center"/>
        <w:outlineLvl w:val="9"/>
        <w:rPr>
          <w:rFonts w:hint="eastAsia" w:ascii="宋体" w:hAnsi="宋体" w:cs="宋体"/>
          <w:b/>
          <w:bCs/>
          <w:color w:val="auto"/>
          <w:sz w:val="32"/>
          <w:szCs w:val="32"/>
          <w:highlight w:val="none"/>
          <w:lang w:eastAsia="zh-CN"/>
        </w:rPr>
      </w:pPr>
    </w:p>
    <w:p w14:paraId="48D79EAA">
      <w:pPr>
        <w:spacing w:line="360" w:lineRule="auto"/>
        <w:jc w:val="center"/>
        <w:outlineLvl w:val="0"/>
        <w:rPr>
          <w:rFonts w:hint="eastAsia" w:ascii="宋体" w:hAnsi="宋体" w:eastAsia="宋体" w:cs="宋体"/>
          <w:b/>
          <w:bCs/>
          <w:color w:val="auto"/>
          <w:sz w:val="32"/>
          <w:szCs w:val="32"/>
          <w:highlight w:val="none"/>
        </w:rPr>
      </w:pPr>
      <w:bookmarkStart w:id="1354" w:name="_Toc13259"/>
      <w:bookmarkStart w:id="1355" w:name="_Toc8680"/>
      <w:r>
        <w:rPr>
          <w:rFonts w:hint="eastAsia" w:ascii="宋体" w:hAnsi="宋体" w:cs="宋体"/>
          <w:b/>
          <w:bCs/>
          <w:color w:val="auto"/>
          <w:sz w:val="32"/>
          <w:szCs w:val="32"/>
          <w:highlight w:val="none"/>
          <w:lang w:eastAsia="zh-CN"/>
        </w:rPr>
        <w:t>（</w:t>
      </w:r>
      <w:r>
        <w:rPr>
          <w:rFonts w:hint="eastAsia" w:ascii="宋体" w:hAnsi="宋体" w:cs="宋体"/>
          <w:b/>
          <w:bCs/>
          <w:color w:val="auto"/>
          <w:sz w:val="32"/>
          <w:szCs w:val="32"/>
          <w:highlight w:val="none"/>
          <w:lang w:val="en-US" w:eastAsia="zh-CN"/>
        </w:rPr>
        <w:t>三</w:t>
      </w:r>
      <w:r>
        <w:rPr>
          <w:rFonts w:hint="eastAsia" w:ascii="宋体" w:hAnsi="宋体" w:cs="宋体"/>
          <w:b/>
          <w:bCs/>
          <w:color w:val="auto"/>
          <w:sz w:val="32"/>
          <w:szCs w:val="32"/>
          <w:highlight w:val="none"/>
          <w:lang w:eastAsia="zh-CN"/>
        </w:rPr>
        <w:t>）</w:t>
      </w:r>
      <w:r>
        <w:rPr>
          <w:rFonts w:hint="eastAsia" w:ascii="宋体" w:hAnsi="宋体" w:eastAsia="宋体" w:cs="宋体"/>
          <w:b/>
          <w:bCs/>
          <w:color w:val="auto"/>
          <w:sz w:val="32"/>
          <w:szCs w:val="32"/>
          <w:highlight w:val="none"/>
        </w:rPr>
        <w:t>监狱企业证明文件</w:t>
      </w:r>
      <w:bookmarkEnd w:id="1354"/>
      <w:bookmarkEnd w:id="1355"/>
    </w:p>
    <w:p w14:paraId="5A52894F">
      <w:pPr>
        <w:jc w:val="center"/>
        <w:rPr>
          <w:rFonts w:hint="eastAsia" w:ascii="宋体" w:hAnsi="宋体" w:eastAsia="宋体" w:cs="宋体"/>
          <w:b/>
          <w:bCs/>
          <w:iCs/>
          <w:color w:val="auto"/>
          <w:sz w:val="24"/>
          <w:szCs w:val="24"/>
          <w:highlight w:val="none"/>
        </w:rPr>
      </w:pPr>
      <w:r>
        <w:rPr>
          <w:rFonts w:hint="eastAsia" w:ascii="宋体" w:hAnsi="宋体" w:eastAsia="宋体" w:cs="宋体"/>
          <w:b/>
          <w:bCs/>
          <w:iCs/>
          <w:color w:val="auto"/>
          <w:sz w:val="24"/>
          <w:szCs w:val="24"/>
          <w:highlight w:val="none"/>
        </w:rPr>
        <w:t>（属于监狱企业的提供，不属于的无需提供此项内容）</w:t>
      </w:r>
    </w:p>
    <w:p w14:paraId="68BA4C9C">
      <w:pPr>
        <w:spacing w:line="360" w:lineRule="auto"/>
        <w:rPr>
          <w:rFonts w:hint="eastAsia" w:ascii="宋体" w:hAnsi="宋体" w:eastAsia="宋体" w:cs="宋体"/>
          <w:b/>
          <w:bCs/>
          <w:color w:val="auto"/>
          <w:sz w:val="32"/>
          <w:szCs w:val="32"/>
          <w:highlight w:val="none"/>
        </w:rPr>
      </w:pPr>
    </w:p>
    <w:p w14:paraId="4D8BF57C">
      <w:pPr>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（监狱企业参加政府采购活动时，应当提供由省级以上监狱管理局、戒毒管理局(含新疆生产建设兵团)出具的属于监狱企业的证明文件。</w:t>
      </w:r>
    </w:p>
    <w:p w14:paraId="686ED6DE">
      <w:pPr>
        <w:spacing w:line="360" w:lineRule="auto"/>
        <w:ind w:firstLine="720" w:firstLineChars="300"/>
        <w:jc w:val="left"/>
        <w:rPr>
          <w:rFonts w:hint="eastAsia" w:ascii="宋体" w:hAnsi="宋体" w:eastAsia="宋体" w:cs="宋体"/>
          <w:bCs/>
          <w:color w:val="auto"/>
          <w:sz w:val="24"/>
          <w:szCs w:val="24"/>
          <w:highlight w:val="none"/>
        </w:rPr>
      </w:pPr>
    </w:p>
    <w:p w14:paraId="2CEDB6D6">
      <w:pPr>
        <w:spacing w:line="360" w:lineRule="auto"/>
        <w:ind w:firstLine="720" w:firstLineChars="3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注：在磋商响应文件中附扫描件。</w:t>
      </w:r>
    </w:p>
    <w:p w14:paraId="1FD395D3">
      <w:pPr>
        <w:pStyle w:val="12"/>
        <w:snapToGrid w:val="0"/>
        <w:spacing w:after="156" w:afterLines="50" w:line="520" w:lineRule="exact"/>
        <w:jc w:val="left"/>
        <w:rPr>
          <w:rFonts w:hint="eastAsia" w:hAnsi="宋体" w:eastAsia="宋体" w:cs="宋体"/>
          <w:b/>
          <w:bCs/>
          <w:sz w:val="24"/>
          <w:szCs w:val="24"/>
          <w:highlight w:val="none"/>
        </w:rPr>
      </w:pPr>
    </w:p>
    <w:p w14:paraId="4860C4AC">
      <w:pPr>
        <w:rPr>
          <w:rFonts w:hint="eastAsia" w:ascii="宋体" w:hAnsi="宋体" w:cs="宋体"/>
          <w:highlight w:val="none"/>
        </w:rPr>
      </w:pPr>
    </w:p>
    <w:p w14:paraId="7FB1D762">
      <w:pPr>
        <w:rPr>
          <w:rFonts w:hint="eastAsia" w:ascii="宋体" w:hAnsi="宋体" w:cs="宋体"/>
          <w:highlight w:val="none"/>
        </w:rPr>
      </w:pPr>
    </w:p>
    <w:p w14:paraId="2806A5B1">
      <w:pPr>
        <w:rPr>
          <w:rFonts w:hint="eastAsia" w:ascii="宋体" w:hAnsi="宋体" w:cs="宋体"/>
          <w:highlight w:val="none"/>
        </w:rPr>
      </w:pPr>
    </w:p>
    <w:p w14:paraId="1042DA95">
      <w:pPr>
        <w:rPr>
          <w:rFonts w:hint="eastAsia" w:ascii="宋体" w:hAnsi="宋体" w:cs="宋体"/>
          <w:highlight w:val="none"/>
        </w:rPr>
      </w:pPr>
    </w:p>
    <w:p w14:paraId="3D73FDF3">
      <w:pPr>
        <w:pStyle w:val="21"/>
        <w:rPr>
          <w:rFonts w:hint="eastAsia" w:ascii="宋体" w:hAnsi="宋体" w:cs="宋体"/>
          <w:highlight w:val="none"/>
        </w:rPr>
      </w:pPr>
    </w:p>
    <w:p w14:paraId="63C756E3">
      <w:pPr>
        <w:pStyle w:val="21"/>
        <w:rPr>
          <w:rFonts w:hint="eastAsia" w:ascii="宋体" w:hAnsi="宋体" w:cs="宋体"/>
          <w:highlight w:val="none"/>
        </w:rPr>
      </w:pPr>
    </w:p>
    <w:p w14:paraId="2AF98059">
      <w:pPr>
        <w:pStyle w:val="21"/>
        <w:rPr>
          <w:rFonts w:hint="eastAsia" w:ascii="宋体" w:hAnsi="宋体" w:cs="宋体"/>
          <w:highlight w:val="none"/>
        </w:rPr>
      </w:pPr>
    </w:p>
    <w:p w14:paraId="46338820">
      <w:pPr>
        <w:pStyle w:val="21"/>
        <w:rPr>
          <w:rFonts w:hint="eastAsia" w:ascii="宋体" w:hAnsi="宋体" w:cs="宋体"/>
          <w:highlight w:val="none"/>
        </w:rPr>
      </w:pPr>
    </w:p>
    <w:p w14:paraId="2BEA2160">
      <w:pPr>
        <w:pStyle w:val="21"/>
        <w:rPr>
          <w:rFonts w:hint="eastAsia" w:ascii="宋体" w:hAnsi="宋体" w:cs="宋体"/>
          <w:highlight w:val="none"/>
        </w:rPr>
      </w:pPr>
    </w:p>
    <w:p w14:paraId="19094817">
      <w:pPr>
        <w:pStyle w:val="21"/>
        <w:rPr>
          <w:rFonts w:hint="eastAsia" w:ascii="宋体" w:hAnsi="宋体" w:cs="宋体"/>
          <w:highlight w:val="none"/>
        </w:rPr>
      </w:pPr>
    </w:p>
    <w:p w14:paraId="71620C39">
      <w:pPr>
        <w:pStyle w:val="21"/>
        <w:rPr>
          <w:rFonts w:hint="eastAsia" w:ascii="宋体" w:hAnsi="宋体" w:cs="宋体"/>
          <w:highlight w:val="none"/>
        </w:rPr>
      </w:pPr>
    </w:p>
    <w:p w14:paraId="13AE5256">
      <w:pPr>
        <w:pStyle w:val="21"/>
        <w:rPr>
          <w:rFonts w:hint="eastAsia" w:ascii="宋体" w:hAnsi="宋体" w:cs="宋体"/>
          <w:highlight w:val="none"/>
        </w:rPr>
      </w:pPr>
    </w:p>
    <w:p w14:paraId="2095FDC5">
      <w:pPr>
        <w:pStyle w:val="21"/>
        <w:rPr>
          <w:rFonts w:hint="eastAsia" w:ascii="宋体" w:hAnsi="宋体" w:cs="宋体"/>
          <w:highlight w:val="none"/>
        </w:rPr>
      </w:pPr>
    </w:p>
    <w:p w14:paraId="58CDD693">
      <w:pPr>
        <w:pStyle w:val="21"/>
        <w:rPr>
          <w:rFonts w:hint="eastAsia" w:ascii="宋体" w:hAnsi="宋体" w:cs="宋体"/>
          <w:highlight w:val="none"/>
        </w:rPr>
      </w:pPr>
    </w:p>
    <w:p w14:paraId="07855401">
      <w:pPr>
        <w:pStyle w:val="21"/>
        <w:rPr>
          <w:rFonts w:hint="eastAsia" w:ascii="宋体" w:hAnsi="宋体" w:cs="宋体"/>
          <w:highlight w:val="none"/>
        </w:rPr>
      </w:pPr>
    </w:p>
    <w:p w14:paraId="5BE3DF23">
      <w:pPr>
        <w:pStyle w:val="21"/>
        <w:rPr>
          <w:rFonts w:hint="eastAsia" w:ascii="宋体" w:hAnsi="宋体" w:cs="宋体"/>
          <w:highlight w:val="none"/>
        </w:rPr>
      </w:pPr>
    </w:p>
    <w:p w14:paraId="73187FF8">
      <w:pPr>
        <w:pStyle w:val="21"/>
        <w:rPr>
          <w:rFonts w:hint="eastAsia" w:ascii="宋体" w:hAnsi="宋体" w:cs="宋体"/>
          <w:highlight w:val="none"/>
        </w:rPr>
      </w:pPr>
    </w:p>
    <w:p w14:paraId="51842D64">
      <w:pPr>
        <w:pStyle w:val="21"/>
        <w:rPr>
          <w:rFonts w:hint="eastAsia" w:ascii="宋体" w:hAnsi="宋体" w:cs="宋体"/>
          <w:highlight w:val="none"/>
        </w:rPr>
      </w:pPr>
    </w:p>
    <w:p w14:paraId="2404F274">
      <w:pPr>
        <w:pStyle w:val="21"/>
        <w:rPr>
          <w:rFonts w:hint="eastAsia" w:ascii="宋体" w:hAnsi="宋体" w:cs="宋体"/>
          <w:highlight w:val="none"/>
        </w:rPr>
      </w:pPr>
    </w:p>
    <w:p w14:paraId="23EE51B9">
      <w:pPr>
        <w:pStyle w:val="21"/>
        <w:rPr>
          <w:rFonts w:hint="eastAsia" w:ascii="宋体" w:hAnsi="宋体" w:cs="宋体"/>
          <w:highlight w:val="none"/>
        </w:rPr>
      </w:pPr>
    </w:p>
    <w:p w14:paraId="188A2C28">
      <w:pPr>
        <w:pStyle w:val="21"/>
        <w:rPr>
          <w:rFonts w:hint="eastAsia" w:ascii="宋体" w:hAnsi="宋体" w:cs="宋体"/>
          <w:highlight w:val="none"/>
        </w:rPr>
      </w:pPr>
    </w:p>
    <w:p w14:paraId="742FF746">
      <w:pPr>
        <w:pStyle w:val="21"/>
        <w:rPr>
          <w:rFonts w:hint="eastAsia" w:ascii="宋体" w:hAnsi="宋体" w:cs="宋体"/>
          <w:highlight w:val="none"/>
        </w:rPr>
      </w:pPr>
    </w:p>
    <w:p w14:paraId="23A3A05C">
      <w:pPr>
        <w:rPr>
          <w:rFonts w:hint="eastAsia" w:ascii="宋体" w:hAnsi="宋体" w:cs="宋体"/>
          <w:highlight w:val="none"/>
        </w:rPr>
      </w:pPr>
    </w:p>
    <w:p w14:paraId="660A701E">
      <w:pPr>
        <w:spacing w:line="360" w:lineRule="auto"/>
        <w:jc w:val="center"/>
        <w:outlineLvl w:val="0"/>
        <w:rPr>
          <w:rFonts w:hint="eastAsia" w:ascii="宋体" w:hAnsi="宋体" w:cs="宋体"/>
          <w:b/>
          <w:bCs/>
          <w:color w:val="auto"/>
          <w:sz w:val="32"/>
          <w:szCs w:val="32"/>
          <w:highlight w:val="none"/>
          <w:lang w:eastAsia="zh-CN"/>
        </w:rPr>
      </w:pPr>
      <w:bookmarkStart w:id="1356" w:name="_Toc2761"/>
      <w:bookmarkStart w:id="1357" w:name="_Toc22652"/>
      <w:r>
        <w:rPr>
          <w:rFonts w:hint="eastAsia" w:ascii="宋体" w:hAnsi="宋体" w:cs="宋体"/>
          <w:b/>
          <w:bCs/>
          <w:color w:val="auto"/>
          <w:sz w:val="32"/>
          <w:szCs w:val="32"/>
          <w:highlight w:val="none"/>
          <w:lang w:eastAsia="zh-CN"/>
        </w:rPr>
        <w:t>（</w:t>
      </w:r>
      <w:r>
        <w:rPr>
          <w:rFonts w:hint="eastAsia" w:ascii="宋体" w:hAnsi="宋体" w:cs="宋体"/>
          <w:b/>
          <w:bCs/>
          <w:color w:val="auto"/>
          <w:sz w:val="32"/>
          <w:szCs w:val="32"/>
          <w:highlight w:val="none"/>
          <w:lang w:val="en-US" w:eastAsia="zh-CN"/>
        </w:rPr>
        <w:t>四）</w:t>
      </w:r>
      <w:r>
        <w:rPr>
          <w:rFonts w:hint="eastAsia" w:ascii="宋体" w:hAnsi="宋体" w:cs="宋体"/>
          <w:b/>
          <w:bCs/>
          <w:color w:val="auto"/>
          <w:sz w:val="32"/>
          <w:szCs w:val="32"/>
          <w:highlight w:val="none"/>
          <w:lang w:eastAsia="zh-CN"/>
        </w:rPr>
        <w:t>供应商认为有利于磋商的其他资料，格式自拟</w:t>
      </w:r>
      <w:bookmarkEnd w:id="1356"/>
      <w:bookmarkEnd w:id="1357"/>
    </w:p>
    <w:p w14:paraId="01594EAF">
      <w:pPr>
        <w:rPr>
          <w:rFonts w:hint="eastAsia" w:ascii="宋体" w:hAnsi="宋体" w:cs="宋体"/>
          <w:highlight w:val="none"/>
        </w:rPr>
      </w:pPr>
    </w:p>
    <w:p w14:paraId="4BBAD11B">
      <w:pPr>
        <w:rPr>
          <w:rFonts w:hint="eastAsia" w:ascii="宋体" w:hAnsi="宋体" w:cs="宋体"/>
          <w:highlight w:val="none"/>
        </w:rPr>
      </w:pPr>
    </w:p>
    <w:p w14:paraId="16F29A66">
      <w:pPr>
        <w:rPr>
          <w:rFonts w:hint="eastAsia" w:ascii="宋体" w:hAnsi="宋体" w:cs="宋体"/>
          <w:highlight w:val="none"/>
        </w:rPr>
      </w:pPr>
    </w:p>
    <w:p w14:paraId="7179FFC4">
      <w:pPr>
        <w:rPr>
          <w:rFonts w:hint="eastAsia" w:ascii="宋体" w:hAnsi="宋体" w:cs="宋体"/>
          <w:highlight w:val="none"/>
        </w:rPr>
      </w:pPr>
    </w:p>
    <w:p w14:paraId="563F5814">
      <w:pPr>
        <w:rPr>
          <w:rFonts w:hint="eastAsia" w:ascii="宋体" w:hAnsi="宋体" w:cs="宋体"/>
          <w:highlight w:val="none"/>
        </w:rPr>
      </w:pPr>
    </w:p>
    <w:p w14:paraId="10E38E8C">
      <w:pPr>
        <w:rPr>
          <w:rFonts w:hint="eastAsia" w:ascii="宋体" w:hAnsi="宋体" w:cs="宋体"/>
          <w:highlight w:val="none"/>
        </w:rPr>
      </w:pPr>
    </w:p>
    <w:p w14:paraId="499C2B94">
      <w:pPr>
        <w:rPr>
          <w:rFonts w:hint="eastAsia" w:ascii="宋体" w:hAnsi="宋体" w:cs="宋体"/>
          <w:highlight w:val="none"/>
        </w:rPr>
      </w:pPr>
    </w:p>
    <w:p w14:paraId="2E638521">
      <w:pPr>
        <w:rPr>
          <w:rFonts w:hint="eastAsia" w:ascii="宋体" w:hAnsi="宋体" w:cs="宋体"/>
          <w:highlight w:val="none"/>
        </w:rPr>
      </w:pPr>
    </w:p>
    <w:p w14:paraId="12FDD69C">
      <w:pPr>
        <w:rPr>
          <w:rFonts w:hint="eastAsia" w:ascii="宋体" w:hAnsi="宋体" w:cs="宋体"/>
          <w:highlight w:val="none"/>
        </w:rPr>
      </w:pPr>
    </w:p>
    <w:p w14:paraId="605E3107">
      <w:pPr>
        <w:rPr>
          <w:rFonts w:hint="eastAsia" w:ascii="宋体" w:hAnsi="宋体" w:cs="宋体"/>
          <w:highlight w:val="none"/>
        </w:rPr>
      </w:pPr>
    </w:p>
    <w:p w14:paraId="1EA40819">
      <w:pPr>
        <w:rPr>
          <w:rFonts w:hint="eastAsia" w:ascii="宋体" w:hAnsi="宋体" w:cs="宋体"/>
          <w:highlight w:val="none"/>
        </w:rPr>
      </w:pPr>
    </w:p>
    <w:p w14:paraId="1F498460">
      <w:pPr>
        <w:rPr>
          <w:rFonts w:hint="eastAsia" w:ascii="宋体" w:hAnsi="宋体" w:cs="宋体"/>
          <w:highlight w:val="none"/>
        </w:rPr>
      </w:pPr>
    </w:p>
    <w:p w14:paraId="4A802E1A">
      <w:pPr>
        <w:rPr>
          <w:rFonts w:hint="eastAsia" w:ascii="宋体" w:hAnsi="宋体" w:cs="宋体"/>
          <w:highlight w:val="none"/>
        </w:rPr>
      </w:pPr>
    </w:p>
    <w:p w14:paraId="2601AEB2">
      <w:pPr>
        <w:pageBreakBefore w:val="0"/>
        <w:kinsoku/>
        <w:overflowPunct/>
        <w:topLinePunct w:val="0"/>
        <w:bidi w:val="0"/>
        <w:outlineLvl w:val="9"/>
        <w:rPr>
          <w:rFonts w:hint="eastAsia" w:ascii="宋体" w:hAnsi="宋体" w:eastAsia="宋体" w:cs="宋体"/>
          <w:highlight w:val="none"/>
          <w:lang w:val="en-US" w:eastAsia="zh-CN"/>
        </w:rPr>
      </w:pPr>
    </w:p>
    <w:p w14:paraId="1D7BD13E">
      <w:pPr>
        <w:pageBreakBefore w:val="0"/>
        <w:shd w:val="clear" w:color="auto" w:fill="FFFFFF"/>
        <w:kinsoku/>
        <w:overflowPunct/>
        <w:topLinePunct w:val="0"/>
        <w:autoSpaceDE w:val="0"/>
        <w:autoSpaceDN w:val="0"/>
        <w:bidi w:val="0"/>
        <w:spacing w:line="360" w:lineRule="auto"/>
        <w:ind w:firstLine="200"/>
        <w:jc w:val="center"/>
        <w:outlineLvl w:val="9"/>
        <w:rPr>
          <w:rFonts w:hint="eastAsia" w:ascii="宋体" w:hAnsi="宋体" w:eastAsia="宋体" w:cs="宋体"/>
          <w:b/>
          <w:color w:val="auto"/>
          <w:sz w:val="32"/>
          <w:szCs w:val="32"/>
          <w:highlight w:val="none"/>
        </w:rPr>
      </w:pPr>
    </w:p>
    <w:p w14:paraId="32EB4466">
      <w:pPr>
        <w:keepNext/>
        <w:keepLines/>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ascii="宋体" w:hAnsi="宋体" w:eastAsia="宋体" w:cs="宋体"/>
          <w:b/>
          <w:sz w:val="30"/>
          <w:szCs w:val="30"/>
          <w:highlight w:val="none"/>
        </w:rPr>
      </w:pPr>
    </w:p>
    <w:p w14:paraId="0637B501">
      <w:pPr>
        <w:pStyle w:val="38"/>
        <w:rPr>
          <w:rFonts w:hint="eastAsia"/>
          <w:highlight w:val="none"/>
        </w:rPr>
      </w:pPr>
    </w:p>
    <w:p w14:paraId="58195738">
      <w:pPr>
        <w:pStyle w:val="22"/>
        <w:ind w:left="0" w:leftChars="0" w:firstLine="0" w:firstLineChars="0"/>
        <w:rPr>
          <w:rFonts w:hint="eastAsia"/>
          <w:highlight w:val="none"/>
        </w:rPr>
      </w:pPr>
    </w:p>
    <w:p w14:paraId="099D47A8">
      <w:pPr>
        <w:rPr>
          <w:rFonts w:hint="eastAsia"/>
          <w:highlight w:val="none"/>
        </w:rPr>
      </w:pPr>
    </w:p>
    <w:p w14:paraId="13D70595">
      <w:pPr>
        <w:pStyle w:val="38"/>
        <w:rPr>
          <w:rFonts w:hint="eastAsia"/>
          <w:highlight w:val="none"/>
        </w:rPr>
      </w:pPr>
    </w:p>
    <w:p w14:paraId="7895DEA0">
      <w:pPr>
        <w:pStyle w:val="39"/>
        <w:rPr>
          <w:rFonts w:hint="eastAsia"/>
          <w:highlight w:val="none"/>
        </w:rPr>
      </w:pPr>
    </w:p>
    <w:p w14:paraId="568C87DD">
      <w:pPr>
        <w:pStyle w:val="65"/>
        <w:ind w:firstLine="2072" w:firstLineChars="469"/>
        <w:rPr>
          <w:rFonts w:hint="eastAsia" w:ascii="宋体" w:hAnsi="宋体"/>
          <w:b/>
          <w:bCs/>
          <w:sz w:val="44"/>
          <w:szCs w:val="44"/>
          <w:highlight w:val="none"/>
        </w:rPr>
      </w:pPr>
      <w:r>
        <w:rPr>
          <w:rFonts w:hint="eastAsia" w:ascii="宋体" w:hAnsi="宋体"/>
          <w:b/>
          <w:bCs/>
          <w:sz w:val="44"/>
          <w:szCs w:val="44"/>
          <w:highlight w:val="none"/>
          <w:u w:val="single"/>
        </w:rPr>
        <w:t xml:space="preserve">            </w:t>
      </w:r>
      <w:r>
        <w:rPr>
          <w:rFonts w:hint="eastAsia" w:ascii="宋体" w:hAnsi="宋体"/>
          <w:b/>
          <w:bCs/>
          <w:sz w:val="44"/>
          <w:szCs w:val="44"/>
          <w:highlight w:val="none"/>
        </w:rPr>
        <w:t xml:space="preserve"> （项目名称</w:t>
      </w:r>
      <w:r>
        <w:rPr>
          <w:rFonts w:hint="eastAsia" w:ascii="宋体" w:hAnsi="宋体"/>
          <w:b/>
          <w:bCs/>
          <w:sz w:val="44"/>
          <w:szCs w:val="44"/>
          <w:highlight w:val="none"/>
          <w:lang w:eastAsia="zh-CN"/>
        </w:rPr>
        <w:t>、</w:t>
      </w:r>
      <w:r>
        <w:rPr>
          <w:rFonts w:hint="eastAsia" w:ascii="宋体" w:hAnsi="宋体"/>
          <w:b/>
          <w:bCs/>
          <w:sz w:val="44"/>
          <w:szCs w:val="44"/>
          <w:highlight w:val="none"/>
          <w:lang w:val="en-US" w:eastAsia="zh-CN"/>
        </w:rPr>
        <w:t>标段</w:t>
      </w:r>
      <w:r>
        <w:rPr>
          <w:rFonts w:hint="eastAsia" w:ascii="宋体" w:hAnsi="宋体"/>
          <w:b/>
          <w:bCs/>
          <w:sz w:val="44"/>
          <w:szCs w:val="44"/>
          <w:highlight w:val="none"/>
        </w:rPr>
        <w:t>）</w:t>
      </w:r>
    </w:p>
    <w:p w14:paraId="3EBEEFCD">
      <w:pPr>
        <w:pageBreakBefore w:val="0"/>
        <w:kinsoku/>
        <w:overflowPunct/>
        <w:topLinePunct w:val="0"/>
        <w:bidi w:val="0"/>
        <w:spacing w:line="360" w:lineRule="auto"/>
        <w:ind w:firstLine="200"/>
        <w:outlineLvl w:val="9"/>
        <w:rPr>
          <w:rFonts w:hint="eastAsia" w:ascii="宋体" w:hAnsi="宋体" w:eastAsia="宋体" w:cs="宋体"/>
          <w:b/>
          <w:szCs w:val="21"/>
          <w:highlight w:val="none"/>
        </w:rPr>
      </w:pPr>
    </w:p>
    <w:p w14:paraId="2629F83C">
      <w:pPr>
        <w:pageBreakBefore w:val="0"/>
        <w:kinsoku/>
        <w:overflowPunct/>
        <w:topLinePunct w:val="0"/>
        <w:bidi w:val="0"/>
        <w:spacing w:line="360" w:lineRule="auto"/>
        <w:jc w:val="center"/>
        <w:outlineLvl w:val="9"/>
        <w:rPr>
          <w:rFonts w:hint="eastAsia" w:ascii="宋体" w:hAnsi="宋体" w:eastAsia="宋体" w:cs="宋体"/>
          <w:b/>
          <w:sz w:val="48"/>
          <w:szCs w:val="48"/>
          <w:highlight w:val="none"/>
          <w:lang w:eastAsia="zh-CN"/>
        </w:rPr>
      </w:pPr>
      <w:r>
        <w:rPr>
          <w:rFonts w:hint="eastAsia" w:ascii="宋体" w:hAnsi="宋体" w:eastAsia="宋体" w:cs="宋体"/>
          <w:b/>
          <w:sz w:val="28"/>
          <w:szCs w:val="28"/>
          <w:highlight w:val="none"/>
          <w:lang w:eastAsia="zh-CN"/>
        </w:rPr>
        <w:t>（</w:t>
      </w:r>
      <w:r>
        <w:rPr>
          <w:rFonts w:hint="eastAsia" w:ascii="宋体" w:hAnsi="宋体" w:eastAsia="宋体" w:cs="宋体"/>
          <w:b/>
          <w:sz w:val="28"/>
          <w:szCs w:val="28"/>
          <w:highlight w:val="none"/>
          <w:lang w:val="en-US" w:eastAsia="zh-CN"/>
        </w:rPr>
        <w:t>第三标段</w:t>
      </w:r>
      <w:r>
        <w:rPr>
          <w:rFonts w:hint="eastAsia" w:ascii="宋体" w:hAnsi="宋体" w:eastAsia="宋体" w:cs="宋体"/>
          <w:b/>
          <w:sz w:val="28"/>
          <w:szCs w:val="28"/>
          <w:highlight w:val="none"/>
          <w:lang w:eastAsia="zh-CN"/>
        </w:rPr>
        <w:t>）</w:t>
      </w:r>
      <w:r>
        <w:rPr>
          <w:rFonts w:hint="eastAsia" w:ascii="宋体" w:hAnsi="宋体" w:eastAsia="宋体" w:cs="宋体"/>
          <w:b/>
          <w:color w:val="0000FF"/>
          <w:sz w:val="28"/>
          <w:szCs w:val="28"/>
          <w:highlight w:val="none"/>
          <w:lang w:eastAsia="zh-CN"/>
        </w:rPr>
        <w:t>（仅参与</w:t>
      </w:r>
      <w:r>
        <w:rPr>
          <w:rFonts w:hint="eastAsia" w:ascii="宋体" w:hAnsi="宋体" w:eastAsia="宋体" w:cs="宋体"/>
          <w:b/>
          <w:color w:val="0000FF"/>
          <w:sz w:val="28"/>
          <w:szCs w:val="28"/>
          <w:highlight w:val="none"/>
          <w:lang w:val="en-US" w:eastAsia="zh-CN"/>
        </w:rPr>
        <w:t>一标段、二标段的供应商请忽略</w:t>
      </w:r>
      <w:r>
        <w:rPr>
          <w:rFonts w:hint="eastAsia" w:ascii="宋体" w:hAnsi="宋体" w:eastAsia="宋体" w:cs="宋体"/>
          <w:b/>
          <w:color w:val="0000FF"/>
          <w:sz w:val="28"/>
          <w:szCs w:val="28"/>
          <w:highlight w:val="none"/>
          <w:lang w:eastAsia="zh-CN"/>
        </w:rPr>
        <w:t>）</w:t>
      </w:r>
    </w:p>
    <w:p w14:paraId="0446C6BB">
      <w:pPr>
        <w:pageBreakBefore w:val="0"/>
        <w:kinsoku/>
        <w:overflowPunct/>
        <w:topLinePunct w:val="0"/>
        <w:bidi w:val="0"/>
        <w:spacing w:line="360" w:lineRule="auto"/>
        <w:jc w:val="center"/>
        <w:outlineLvl w:val="9"/>
        <w:rPr>
          <w:rFonts w:ascii="宋体" w:hAnsi="宋体" w:cs="宋体"/>
          <w:b/>
          <w:spacing w:val="24"/>
          <w:kern w:val="10"/>
          <w:sz w:val="72"/>
          <w:szCs w:val="72"/>
          <w:highlight w:val="none"/>
        </w:rPr>
      </w:pPr>
      <w:r>
        <w:rPr>
          <w:rFonts w:hint="eastAsia" w:ascii="宋体" w:hAnsi="宋体" w:cs="宋体"/>
          <w:b/>
          <w:spacing w:val="24"/>
          <w:kern w:val="10"/>
          <w:sz w:val="72"/>
          <w:szCs w:val="72"/>
          <w:highlight w:val="none"/>
        </w:rPr>
        <w:t>竞争性磋商响应文件</w:t>
      </w:r>
    </w:p>
    <w:p w14:paraId="7990EFF4">
      <w:pPr>
        <w:pageBreakBefore w:val="0"/>
        <w:kinsoku/>
        <w:overflowPunct/>
        <w:topLinePunct w:val="0"/>
        <w:bidi w:val="0"/>
        <w:spacing w:line="360" w:lineRule="auto"/>
        <w:ind w:firstLine="2409" w:firstLineChars="800"/>
        <w:jc w:val="both"/>
        <w:outlineLvl w:val="9"/>
        <w:rPr>
          <w:rFonts w:hint="default" w:ascii="宋体" w:hAnsi="宋体" w:eastAsia="宋体" w:cs="宋体"/>
          <w:b/>
          <w:sz w:val="30"/>
          <w:szCs w:val="30"/>
          <w:highlight w:val="none"/>
          <w:lang w:val="en-US" w:eastAsia="zh-CN"/>
        </w:rPr>
      </w:pPr>
      <w:r>
        <w:rPr>
          <w:rFonts w:hint="eastAsia" w:ascii="宋体" w:hAnsi="宋体" w:eastAsia="宋体" w:cs="宋体"/>
          <w:b/>
          <w:sz w:val="30"/>
          <w:szCs w:val="30"/>
          <w:highlight w:val="none"/>
        </w:rPr>
        <w:t>项目编号：</w:t>
      </w:r>
    </w:p>
    <w:p w14:paraId="69F5A47F">
      <w:pPr>
        <w:pageBreakBefore w:val="0"/>
        <w:kinsoku/>
        <w:overflowPunct/>
        <w:topLinePunct w:val="0"/>
        <w:bidi w:val="0"/>
        <w:spacing w:line="360" w:lineRule="auto"/>
        <w:ind w:firstLine="2711" w:firstLineChars="900"/>
        <w:outlineLvl w:val="9"/>
        <w:rPr>
          <w:rFonts w:hint="eastAsia" w:ascii="宋体" w:hAnsi="宋体" w:eastAsia="宋体" w:cs="宋体"/>
          <w:b/>
          <w:sz w:val="30"/>
          <w:szCs w:val="30"/>
          <w:highlight w:val="none"/>
          <w:u w:val="single"/>
        </w:rPr>
      </w:pPr>
    </w:p>
    <w:p w14:paraId="6F04478A">
      <w:pPr>
        <w:pageBreakBefore w:val="0"/>
        <w:kinsoku/>
        <w:overflowPunct/>
        <w:topLinePunct w:val="0"/>
        <w:bidi w:val="0"/>
        <w:spacing w:line="360" w:lineRule="auto"/>
        <w:ind w:firstLine="420" w:firstLineChars="200"/>
        <w:outlineLvl w:val="9"/>
        <w:rPr>
          <w:rFonts w:hint="eastAsia" w:ascii="宋体" w:hAnsi="宋体" w:eastAsia="宋体" w:cs="宋体"/>
          <w:szCs w:val="21"/>
          <w:highlight w:val="none"/>
        </w:rPr>
      </w:pPr>
    </w:p>
    <w:p w14:paraId="3B2EC943">
      <w:pPr>
        <w:pageBreakBefore w:val="0"/>
        <w:kinsoku/>
        <w:overflowPunct/>
        <w:topLinePunct w:val="0"/>
        <w:bidi w:val="0"/>
        <w:spacing w:line="360" w:lineRule="auto"/>
        <w:ind w:firstLine="420" w:firstLineChars="200"/>
        <w:outlineLvl w:val="9"/>
        <w:rPr>
          <w:rFonts w:hint="eastAsia" w:ascii="宋体" w:hAnsi="宋体" w:eastAsia="宋体" w:cs="宋体"/>
          <w:szCs w:val="21"/>
          <w:highlight w:val="none"/>
        </w:rPr>
      </w:pPr>
    </w:p>
    <w:p w14:paraId="2F094238">
      <w:pPr>
        <w:pageBreakBefore w:val="0"/>
        <w:kinsoku/>
        <w:overflowPunct/>
        <w:topLinePunct w:val="0"/>
        <w:bidi w:val="0"/>
        <w:spacing w:line="360" w:lineRule="auto"/>
        <w:ind w:firstLine="420" w:firstLineChars="200"/>
        <w:outlineLvl w:val="9"/>
        <w:rPr>
          <w:rFonts w:hint="eastAsia" w:ascii="宋体" w:hAnsi="宋体" w:eastAsia="宋体" w:cs="宋体"/>
          <w:szCs w:val="21"/>
          <w:highlight w:val="none"/>
        </w:rPr>
      </w:pPr>
    </w:p>
    <w:p w14:paraId="0FA4602E">
      <w:pPr>
        <w:pageBreakBefore w:val="0"/>
        <w:kinsoku/>
        <w:overflowPunct/>
        <w:topLinePunct w:val="0"/>
        <w:bidi w:val="0"/>
        <w:spacing w:line="360" w:lineRule="auto"/>
        <w:ind w:firstLine="420" w:firstLineChars="200"/>
        <w:outlineLvl w:val="9"/>
        <w:rPr>
          <w:rFonts w:hint="eastAsia" w:ascii="宋体" w:hAnsi="宋体" w:eastAsia="宋体" w:cs="宋体"/>
          <w:szCs w:val="21"/>
          <w:highlight w:val="none"/>
        </w:rPr>
      </w:pPr>
    </w:p>
    <w:p w14:paraId="40FE02AA">
      <w:pPr>
        <w:pageBreakBefore w:val="0"/>
        <w:kinsoku/>
        <w:overflowPunct/>
        <w:topLinePunct w:val="0"/>
        <w:bidi w:val="0"/>
        <w:spacing w:line="360" w:lineRule="auto"/>
        <w:ind w:firstLine="420" w:firstLineChars="200"/>
        <w:outlineLvl w:val="9"/>
        <w:rPr>
          <w:rFonts w:hint="eastAsia" w:ascii="宋体" w:hAnsi="宋体" w:eastAsia="宋体" w:cs="宋体"/>
          <w:szCs w:val="21"/>
          <w:highlight w:val="none"/>
        </w:rPr>
      </w:pPr>
    </w:p>
    <w:p w14:paraId="52BD10F9">
      <w:pPr>
        <w:pageBreakBefore w:val="0"/>
        <w:kinsoku/>
        <w:overflowPunct/>
        <w:topLinePunct w:val="0"/>
        <w:bidi w:val="0"/>
        <w:spacing w:line="360" w:lineRule="auto"/>
        <w:ind w:firstLine="420" w:firstLineChars="200"/>
        <w:outlineLvl w:val="9"/>
        <w:rPr>
          <w:rFonts w:hint="eastAsia" w:ascii="宋体" w:hAnsi="宋体" w:eastAsia="宋体" w:cs="宋体"/>
          <w:szCs w:val="21"/>
          <w:highlight w:val="none"/>
        </w:rPr>
      </w:pPr>
    </w:p>
    <w:p w14:paraId="51FA3E3D">
      <w:pPr>
        <w:pageBreakBefore w:val="0"/>
        <w:kinsoku/>
        <w:overflowPunct/>
        <w:topLinePunct w:val="0"/>
        <w:bidi w:val="0"/>
        <w:spacing w:line="360" w:lineRule="auto"/>
        <w:ind w:firstLine="420" w:firstLineChars="200"/>
        <w:outlineLvl w:val="9"/>
        <w:rPr>
          <w:rFonts w:hint="eastAsia" w:ascii="宋体" w:hAnsi="宋体" w:eastAsia="宋体" w:cs="宋体"/>
          <w:szCs w:val="21"/>
          <w:highlight w:val="none"/>
        </w:rPr>
      </w:pPr>
    </w:p>
    <w:p w14:paraId="042EBDCF">
      <w:pPr>
        <w:pageBreakBefore w:val="0"/>
        <w:kinsoku/>
        <w:overflowPunct/>
        <w:topLinePunct w:val="0"/>
        <w:bidi w:val="0"/>
        <w:spacing w:line="360" w:lineRule="auto"/>
        <w:ind w:firstLine="200"/>
        <w:outlineLvl w:val="9"/>
        <w:rPr>
          <w:rFonts w:hint="eastAsia" w:ascii="宋体" w:hAnsi="宋体" w:eastAsia="宋体" w:cs="宋体"/>
          <w:szCs w:val="21"/>
          <w:highlight w:val="none"/>
        </w:rPr>
      </w:pPr>
    </w:p>
    <w:p w14:paraId="1725221A">
      <w:pPr>
        <w:pageBreakBefore w:val="0"/>
        <w:kinsoku/>
        <w:overflowPunct/>
        <w:topLinePunct w:val="0"/>
        <w:bidi w:val="0"/>
        <w:spacing w:line="360" w:lineRule="auto"/>
        <w:jc w:val="both"/>
        <w:outlineLvl w:val="9"/>
        <w:rPr>
          <w:rFonts w:hint="eastAsia" w:ascii="宋体" w:hAnsi="宋体" w:eastAsia="宋体" w:cs="宋体"/>
          <w:sz w:val="24"/>
          <w:szCs w:val="24"/>
          <w:highlight w:val="none"/>
        </w:rPr>
      </w:pPr>
    </w:p>
    <w:p w14:paraId="5F35FB1F">
      <w:pPr>
        <w:pageBreakBefore w:val="0"/>
        <w:kinsoku/>
        <w:overflowPunct/>
        <w:topLinePunct w:val="0"/>
        <w:bidi w:val="0"/>
        <w:spacing w:line="360" w:lineRule="auto"/>
        <w:ind w:firstLine="2640" w:firstLineChars="11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：（单位公章）</w:t>
      </w:r>
    </w:p>
    <w:p w14:paraId="4D88D742">
      <w:pPr>
        <w:pageBreakBefore w:val="0"/>
        <w:kinsoku/>
        <w:overflowPunct/>
        <w:topLinePunct w:val="0"/>
        <w:bidi w:val="0"/>
        <w:spacing w:line="360" w:lineRule="auto"/>
        <w:ind w:firstLine="2623" w:firstLineChars="1093"/>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法定代表人：（电子签章）</w:t>
      </w:r>
    </w:p>
    <w:p w14:paraId="30FEDA3C">
      <w:pPr>
        <w:pageBreakBefore w:val="0"/>
        <w:kinsoku/>
        <w:overflowPunct/>
        <w:topLinePunct w:val="0"/>
        <w:bidi w:val="0"/>
        <w:spacing w:line="360" w:lineRule="auto"/>
        <w:ind w:firstLine="2880" w:firstLineChars="120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p w14:paraId="454E526A">
      <w:pPr>
        <w:pageBreakBefore w:val="0"/>
        <w:kinsoku/>
        <w:overflowPunct/>
        <w:topLinePunct w:val="0"/>
        <w:bidi w:val="0"/>
        <w:spacing w:line="360" w:lineRule="auto"/>
        <w:ind w:firstLine="200"/>
        <w:outlineLvl w:val="9"/>
        <w:rPr>
          <w:rFonts w:hint="eastAsia" w:ascii="宋体" w:hAnsi="宋体" w:eastAsia="宋体" w:cs="宋体"/>
          <w:szCs w:val="21"/>
          <w:highlight w:val="none"/>
        </w:rPr>
      </w:pPr>
    </w:p>
    <w:p w14:paraId="123ED765">
      <w:pPr>
        <w:pageBreakBefore w:val="0"/>
        <w:kinsoku/>
        <w:overflowPunct/>
        <w:topLinePunct w:val="0"/>
        <w:bidi w:val="0"/>
        <w:spacing w:line="360" w:lineRule="auto"/>
        <w:ind w:firstLine="200"/>
        <w:outlineLvl w:val="9"/>
        <w:rPr>
          <w:rFonts w:hint="eastAsia" w:ascii="宋体" w:hAnsi="宋体" w:eastAsia="宋体" w:cs="宋体"/>
          <w:sz w:val="32"/>
          <w:szCs w:val="32"/>
          <w:highlight w:val="none"/>
        </w:rPr>
      </w:pPr>
    </w:p>
    <w:p w14:paraId="46588C90">
      <w:pPr>
        <w:pageBreakBefore w:val="0"/>
        <w:shd w:val="clear" w:color="auto" w:fill="FFFFFF"/>
        <w:tabs>
          <w:tab w:val="left" w:pos="3382"/>
        </w:tabs>
        <w:kinsoku/>
        <w:overflowPunct/>
        <w:topLinePunct w:val="0"/>
        <w:autoSpaceDE w:val="0"/>
        <w:autoSpaceDN w:val="0"/>
        <w:bidi w:val="0"/>
        <w:spacing w:line="360" w:lineRule="auto"/>
        <w:jc w:val="both"/>
        <w:outlineLvl w:val="9"/>
        <w:rPr>
          <w:rFonts w:hint="eastAsia" w:ascii="宋体" w:hAnsi="宋体" w:eastAsia="宋体" w:cs="宋体"/>
          <w:b/>
          <w:sz w:val="32"/>
          <w:szCs w:val="32"/>
          <w:highlight w:val="none"/>
          <w:lang w:eastAsia="zh-CN"/>
        </w:rPr>
      </w:pPr>
    </w:p>
    <w:p w14:paraId="3106AE1C">
      <w:pPr>
        <w:pStyle w:val="38"/>
        <w:rPr>
          <w:rFonts w:hint="eastAsia" w:ascii="宋体" w:hAnsi="宋体" w:eastAsia="宋体" w:cs="宋体"/>
          <w:b/>
          <w:sz w:val="32"/>
          <w:szCs w:val="32"/>
          <w:highlight w:val="none"/>
          <w:lang w:eastAsia="zh-CN"/>
        </w:rPr>
      </w:pPr>
    </w:p>
    <w:p w14:paraId="026FE222">
      <w:pPr>
        <w:pStyle w:val="39"/>
        <w:rPr>
          <w:rFonts w:hint="eastAsia"/>
          <w:highlight w:val="none"/>
          <w:lang w:eastAsia="zh-CN"/>
        </w:rPr>
      </w:pPr>
    </w:p>
    <w:p w14:paraId="12052A2A">
      <w:pPr>
        <w:pStyle w:val="21"/>
        <w:rPr>
          <w:rFonts w:hint="eastAsia"/>
          <w:highlight w:val="none"/>
          <w:lang w:eastAsia="zh-CN"/>
        </w:rPr>
      </w:pPr>
    </w:p>
    <w:p w14:paraId="6EA6739C">
      <w:pPr>
        <w:pageBreakBefore w:val="0"/>
        <w:shd w:val="clear" w:color="auto" w:fill="FFFFFF"/>
        <w:kinsoku/>
        <w:overflowPunct/>
        <w:topLinePunct w:val="0"/>
        <w:autoSpaceDE w:val="0"/>
        <w:autoSpaceDN w:val="0"/>
        <w:bidi w:val="0"/>
        <w:spacing w:line="360" w:lineRule="auto"/>
        <w:ind w:firstLine="200"/>
        <w:jc w:val="center"/>
        <w:outlineLvl w:val="9"/>
        <w:rPr>
          <w:rFonts w:hint="eastAsia" w:ascii="宋体" w:hAnsi="宋体" w:eastAsia="宋体" w:cs="宋体"/>
          <w:b/>
          <w:sz w:val="32"/>
          <w:szCs w:val="32"/>
          <w:highlight w:val="none"/>
        </w:rPr>
      </w:pPr>
      <w:r>
        <w:rPr>
          <w:rFonts w:hint="eastAsia" w:ascii="宋体" w:hAnsi="宋体" w:eastAsia="宋体" w:cs="宋体"/>
          <w:b/>
          <w:sz w:val="32"/>
          <w:szCs w:val="32"/>
          <w:highlight w:val="none"/>
        </w:rPr>
        <w:t>目  录</w:t>
      </w:r>
    </w:p>
    <w:p w14:paraId="34D4272E">
      <w:pPr>
        <w:pageBreakBefore w:val="0"/>
        <w:shd w:val="clear" w:color="auto" w:fill="FFFFFF"/>
        <w:kinsoku/>
        <w:overflowPunct/>
        <w:topLinePunct w:val="0"/>
        <w:autoSpaceDE w:val="0"/>
        <w:autoSpaceDN w:val="0"/>
        <w:bidi w:val="0"/>
        <w:spacing w:line="360" w:lineRule="auto"/>
        <w:ind w:right="600" w:firstLine="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一、磋商函及磋商函附录</w:t>
      </w:r>
    </w:p>
    <w:p w14:paraId="35D178F0">
      <w:pPr>
        <w:pageBreakBefore w:val="0"/>
        <w:shd w:val="clear" w:color="auto" w:fill="FFFFFF"/>
        <w:kinsoku/>
        <w:overflowPunct/>
        <w:topLinePunct w:val="0"/>
        <w:autoSpaceDE w:val="0"/>
        <w:autoSpaceDN w:val="0"/>
        <w:bidi w:val="0"/>
        <w:spacing w:line="360" w:lineRule="auto"/>
        <w:ind w:right="600" w:firstLine="200"/>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二、法定代表人身份证明及授权委托书</w:t>
      </w:r>
    </w:p>
    <w:p w14:paraId="54D181CD">
      <w:pPr>
        <w:pageBreakBefore w:val="0"/>
        <w:shd w:val="clear" w:color="auto" w:fill="FFFFFF"/>
        <w:kinsoku/>
        <w:overflowPunct/>
        <w:topLinePunct w:val="0"/>
        <w:autoSpaceDE w:val="0"/>
        <w:autoSpaceDN w:val="0"/>
        <w:bidi w:val="0"/>
        <w:spacing w:line="360" w:lineRule="auto"/>
        <w:ind w:right="600" w:firstLine="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三、</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承诺函</w:t>
      </w:r>
    </w:p>
    <w:p w14:paraId="34F7E76A">
      <w:pPr>
        <w:pageBreakBefore w:val="0"/>
        <w:shd w:val="clear" w:color="auto" w:fill="FFFFFF"/>
        <w:kinsoku/>
        <w:overflowPunct/>
        <w:topLinePunct w:val="0"/>
        <w:autoSpaceDE w:val="0"/>
        <w:autoSpaceDN w:val="0"/>
        <w:bidi w:val="0"/>
        <w:spacing w:line="360" w:lineRule="auto"/>
        <w:ind w:right="600" w:firstLine="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四、已标价工程量清单</w:t>
      </w:r>
    </w:p>
    <w:p w14:paraId="28A6EDB3">
      <w:pPr>
        <w:pageBreakBefore w:val="0"/>
        <w:shd w:val="clear" w:color="auto" w:fill="FFFFFF"/>
        <w:kinsoku/>
        <w:overflowPunct/>
        <w:topLinePunct w:val="0"/>
        <w:autoSpaceDE w:val="0"/>
        <w:autoSpaceDN w:val="0"/>
        <w:bidi w:val="0"/>
        <w:spacing w:line="360" w:lineRule="auto"/>
        <w:ind w:right="600" w:firstLine="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五、施工组织设计</w:t>
      </w:r>
    </w:p>
    <w:p w14:paraId="55D4464A">
      <w:pPr>
        <w:pageBreakBefore w:val="0"/>
        <w:shd w:val="clear" w:color="auto" w:fill="FFFFFF"/>
        <w:kinsoku/>
        <w:overflowPunct/>
        <w:topLinePunct w:val="0"/>
        <w:autoSpaceDE w:val="0"/>
        <w:autoSpaceDN w:val="0"/>
        <w:bidi w:val="0"/>
        <w:spacing w:line="360" w:lineRule="auto"/>
        <w:ind w:right="600" w:firstLine="200"/>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六、项目管理机构</w:t>
      </w:r>
    </w:p>
    <w:p w14:paraId="0E1A0D7F">
      <w:pPr>
        <w:pageBreakBefore w:val="0"/>
        <w:shd w:val="clear" w:color="auto" w:fill="FFFFFF"/>
        <w:kinsoku/>
        <w:overflowPunct/>
        <w:topLinePunct w:val="0"/>
        <w:autoSpaceDE w:val="0"/>
        <w:autoSpaceDN w:val="0"/>
        <w:bidi w:val="0"/>
        <w:spacing w:line="360" w:lineRule="auto"/>
        <w:ind w:right="600" w:firstLine="200"/>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七、业绩证明材料</w:t>
      </w:r>
    </w:p>
    <w:p w14:paraId="7AA261A0">
      <w:pPr>
        <w:pageBreakBefore w:val="0"/>
        <w:shd w:val="clear" w:color="auto" w:fill="FFFFFF"/>
        <w:kinsoku/>
        <w:overflowPunct/>
        <w:topLinePunct w:val="0"/>
        <w:autoSpaceDE w:val="0"/>
        <w:autoSpaceDN w:val="0"/>
        <w:bidi w:val="0"/>
        <w:spacing w:line="360" w:lineRule="auto"/>
        <w:ind w:right="600" w:firstLine="200"/>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八、</w:t>
      </w:r>
      <w:r>
        <w:rPr>
          <w:rFonts w:hint="eastAsia" w:ascii="宋体" w:hAnsi="宋体" w:eastAsia="宋体" w:cs="宋体"/>
          <w:sz w:val="24"/>
          <w:szCs w:val="24"/>
          <w:highlight w:val="none"/>
          <w:lang w:val="en-US" w:eastAsia="zh-CN"/>
        </w:rPr>
        <w:t>资格审查资料</w:t>
      </w:r>
    </w:p>
    <w:p w14:paraId="6DACC67E">
      <w:pPr>
        <w:pageBreakBefore w:val="0"/>
        <w:shd w:val="clear" w:color="auto" w:fill="FFFFFF"/>
        <w:kinsoku/>
        <w:overflowPunct/>
        <w:topLinePunct w:val="0"/>
        <w:autoSpaceDE w:val="0"/>
        <w:autoSpaceDN w:val="0"/>
        <w:bidi w:val="0"/>
        <w:spacing w:line="360" w:lineRule="auto"/>
        <w:ind w:right="600" w:firstLine="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九</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履职尽责承诺</w:t>
      </w:r>
    </w:p>
    <w:p w14:paraId="5414C5B8">
      <w:pPr>
        <w:pageBreakBefore w:val="0"/>
        <w:shd w:val="clear" w:color="auto" w:fill="FFFFFF"/>
        <w:kinsoku/>
        <w:overflowPunct/>
        <w:topLinePunct w:val="0"/>
        <w:autoSpaceDE w:val="0"/>
        <w:autoSpaceDN w:val="0"/>
        <w:bidi w:val="0"/>
        <w:spacing w:line="360" w:lineRule="auto"/>
        <w:ind w:right="600" w:firstLine="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十、优惠承诺</w:t>
      </w:r>
    </w:p>
    <w:p w14:paraId="0ECB4F05">
      <w:pPr>
        <w:pageBreakBefore w:val="0"/>
        <w:shd w:val="clear" w:color="auto" w:fill="FFFFFF"/>
        <w:kinsoku/>
        <w:overflowPunct/>
        <w:topLinePunct w:val="0"/>
        <w:autoSpaceDE w:val="0"/>
        <w:autoSpaceDN w:val="0"/>
        <w:bidi w:val="0"/>
        <w:spacing w:line="360" w:lineRule="auto"/>
        <w:ind w:right="600" w:firstLine="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十一、其他资料</w:t>
      </w:r>
    </w:p>
    <w:p w14:paraId="199B54EA">
      <w:pPr>
        <w:pStyle w:val="21"/>
        <w:rPr>
          <w:rFonts w:hint="default"/>
          <w:highlight w:val="none"/>
          <w:lang w:val="en-US" w:eastAsia="zh-CN"/>
        </w:rPr>
      </w:pPr>
    </w:p>
    <w:p w14:paraId="0093D902">
      <w:pPr>
        <w:pageBreakBefore w:val="0"/>
        <w:shd w:val="clear" w:color="auto" w:fill="FFFFFF"/>
        <w:kinsoku/>
        <w:overflowPunct/>
        <w:topLinePunct w:val="0"/>
        <w:autoSpaceDE w:val="0"/>
        <w:autoSpaceDN w:val="0"/>
        <w:bidi w:val="0"/>
        <w:spacing w:line="360" w:lineRule="auto"/>
        <w:ind w:right="600" w:firstLine="200"/>
        <w:outlineLvl w:val="9"/>
        <w:rPr>
          <w:rFonts w:hint="eastAsia" w:ascii="宋体" w:hAnsi="宋体" w:eastAsia="宋体" w:cs="宋体"/>
          <w:bCs/>
          <w:sz w:val="24"/>
          <w:szCs w:val="24"/>
          <w:highlight w:val="none"/>
        </w:rPr>
      </w:pPr>
    </w:p>
    <w:p w14:paraId="6CCBCCA2">
      <w:pPr>
        <w:spacing w:line="360" w:lineRule="auto"/>
        <w:ind w:left="420"/>
        <w:jc w:val="left"/>
        <w:outlineLvl w:val="0"/>
        <w:rPr>
          <w:rFonts w:hint="eastAsia" w:ascii="宋体" w:hAnsi="宋体" w:cs="宋体"/>
          <w:b/>
          <w:color w:val="FF0000"/>
          <w:sz w:val="30"/>
          <w:szCs w:val="30"/>
          <w:highlight w:val="none"/>
        </w:rPr>
      </w:pPr>
    </w:p>
    <w:p w14:paraId="685EE6E1">
      <w:pPr>
        <w:spacing w:line="360" w:lineRule="auto"/>
        <w:ind w:left="420"/>
        <w:jc w:val="left"/>
        <w:outlineLvl w:val="0"/>
        <w:rPr>
          <w:rFonts w:ascii="宋体" w:hAnsi="宋体" w:cs="宋体"/>
          <w:b/>
          <w:color w:val="FF0000"/>
          <w:sz w:val="24"/>
          <w:szCs w:val="24"/>
          <w:highlight w:val="none"/>
        </w:rPr>
      </w:pPr>
      <w:bookmarkStart w:id="1358" w:name="_Toc21542"/>
      <w:r>
        <w:rPr>
          <w:rFonts w:hint="eastAsia" w:ascii="宋体" w:hAnsi="宋体" w:cs="宋体"/>
          <w:b/>
          <w:color w:val="FF0000"/>
          <w:sz w:val="24"/>
          <w:szCs w:val="24"/>
          <w:highlight w:val="none"/>
        </w:rPr>
        <w:t>备注：1.目录格式可根据实际情况调整，目录内容包含以上但不限制，可增加</w:t>
      </w:r>
      <w:r>
        <w:rPr>
          <w:rFonts w:hint="eastAsia" w:ascii="宋体" w:hAnsi="宋体" w:cs="宋体"/>
          <w:b/>
          <w:color w:val="FF0000"/>
          <w:sz w:val="24"/>
          <w:szCs w:val="24"/>
          <w:highlight w:val="none"/>
          <w:lang w:eastAsia="zh-CN"/>
        </w:rPr>
        <w:t>，目录不作为废标项</w:t>
      </w:r>
      <w:r>
        <w:rPr>
          <w:rFonts w:hint="eastAsia" w:ascii="宋体" w:hAnsi="宋体" w:cs="宋体"/>
          <w:b/>
          <w:color w:val="FF0000"/>
          <w:sz w:val="24"/>
          <w:szCs w:val="24"/>
          <w:highlight w:val="none"/>
        </w:rPr>
        <w:t>。</w:t>
      </w:r>
      <w:bookmarkEnd w:id="1358"/>
    </w:p>
    <w:p w14:paraId="79189E9B">
      <w:pPr>
        <w:pageBreakBefore w:val="0"/>
        <w:widowControl/>
        <w:kinsoku/>
        <w:overflowPunct/>
        <w:topLinePunct w:val="0"/>
        <w:bidi w:val="0"/>
        <w:ind w:firstLine="964" w:firstLineChars="400"/>
        <w:jc w:val="left"/>
        <w:outlineLvl w:val="9"/>
        <w:rPr>
          <w:rFonts w:hint="eastAsia" w:ascii="宋体" w:hAnsi="宋体" w:eastAsia="宋体" w:cs="宋体"/>
          <w:b/>
          <w:bCs/>
          <w:sz w:val="24"/>
          <w:szCs w:val="24"/>
          <w:highlight w:val="none"/>
        </w:rPr>
      </w:pPr>
      <w:r>
        <w:rPr>
          <w:rFonts w:hint="eastAsia" w:ascii="宋体" w:hAnsi="宋体" w:cs="宋体"/>
          <w:b/>
          <w:color w:val="FF0000"/>
          <w:sz w:val="24"/>
          <w:szCs w:val="24"/>
          <w:highlight w:val="none"/>
        </w:rPr>
        <w:t>2.红色字体仅作提醒，编辑时可删除。</w:t>
      </w:r>
    </w:p>
    <w:p w14:paraId="1AE4FD69">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sz w:val="32"/>
          <w:szCs w:val="32"/>
          <w:highlight w:val="none"/>
        </w:rPr>
      </w:pPr>
    </w:p>
    <w:p w14:paraId="39C1E9BB">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sz w:val="32"/>
          <w:szCs w:val="32"/>
          <w:highlight w:val="none"/>
        </w:rPr>
      </w:pPr>
    </w:p>
    <w:p w14:paraId="6FC7E711">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sz w:val="32"/>
          <w:szCs w:val="32"/>
          <w:highlight w:val="none"/>
        </w:rPr>
      </w:pPr>
    </w:p>
    <w:p w14:paraId="3E32BAEB">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sz w:val="32"/>
          <w:szCs w:val="32"/>
          <w:highlight w:val="none"/>
        </w:rPr>
      </w:pPr>
    </w:p>
    <w:p w14:paraId="22DA4697">
      <w:pPr>
        <w:keepNext w:val="0"/>
        <w:keepLines w:val="0"/>
        <w:pageBreakBefore w:val="0"/>
        <w:widowControl w:val="0"/>
        <w:kinsoku/>
        <w:wordWrap/>
        <w:overflowPunct/>
        <w:topLinePunct w:val="0"/>
        <w:autoSpaceDE/>
        <w:autoSpaceDN/>
        <w:bidi w:val="0"/>
        <w:adjustRightInd/>
        <w:snapToGrid/>
        <w:spacing w:line="720" w:lineRule="auto"/>
        <w:jc w:val="both"/>
        <w:textAlignment w:val="auto"/>
        <w:outlineLvl w:val="9"/>
        <w:rPr>
          <w:rFonts w:hint="eastAsia" w:ascii="宋体" w:hAnsi="宋体" w:eastAsia="宋体" w:cs="宋体"/>
          <w:b/>
          <w:bCs/>
          <w:sz w:val="32"/>
          <w:szCs w:val="32"/>
          <w:highlight w:val="none"/>
        </w:rPr>
      </w:pPr>
    </w:p>
    <w:p w14:paraId="158CF48C">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一、磋商函及磋商函附录</w:t>
      </w:r>
    </w:p>
    <w:p w14:paraId="5545BC90">
      <w:pPr>
        <w:pageBreakBefore w:val="0"/>
        <w:kinsoku/>
        <w:overflowPunct/>
        <w:topLinePunct w:val="0"/>
        <w:bidi w:val="0"/>
        <w:jc w:val="center"/>
        <w:outlineLvl w:val="9"/>
        <w:rPr>
          <w:rFonts w:ascii="宋体" w:hAnsi="宋体" w:cs="宋体"/>
          <w:b/>
          <w:bCs/>
          <w:sz w:val="28"/>
          <w:highlight w:val="none"/>
        </w:rPr>
      </w:pPr>
      <w:r>
        <w:rPr>
          <w:rFonts w:hint="eastAsia" w:ascii="宋体" w:hAnsi="宋体" w:cs="宋体"/>
          <w:b/>
          <w:bCs/>
          <w:sz w:val="28"/>
          <w:highlight w:val="none"/>
        </w:rPr>
        <w:t>（一）磋商函</w:t>
      </w:r>
    </w:p>
    <w:p w14:paraId="4AD345F3">
      <w:pPr>
        <w:pageBreakBefore w:val="0"/>
        <w:kinsoku/>
        <w:overflowPunct/>
        <w:topLinePunct w:val="0"/>
        <w:bidi w:val="0"/>
        <w:spacing w:line="360" w:lineRule="auto"/>
        <w:outlineLvl w:val="9"/>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（采购人名称）：</w:t>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p>
    <w:p w14:paraId="2051F0A9">
      <w:pPr>
        <w:pageBreakBefore w:val="0"/>
        <w:kinsoku/>
        <w:overflowPunct/>
        <w:topLinePunct w:val="0"/>
        <w:bidi w:val="0"/>
        <w:spacing w:line="360" w:lineRule="auto"/>
        <w:ind w:firstLine="960" w:firstLineChars="400"/>
        <w:outlineLvl w:val="9"/>
        <w:rPr>
          <w:rFonts w:ascii="宋体" w:hAnsi="宋体" w:cs="宋体"/>
          <w:sz w:val="24"/>
          <w:highlight w:val="none"/>
        </w:rPr>
      </w:pPr>
      <w:r>
        <w:rPr>
          <w:rFonts w:hint="eastAsia" w:ascii="宋体" w:hAnsi="宋体" w:cs="宋体"/>
          <w:sz w:val="24"/>
          <w:highlight w:val="none"/>
        </w:rPr>
        <w:t>我方已仔细研究了</w:t>
      </w:r>
      <w:r>
        <w:rPr>
          <w:rFonts w:hint="eastAsia" w:ascii="宋体" w:hAnsi="宋体" w:cs="宋体"/>
          <w:sz w:val="24"/>
          <w:highlight w:val="none"/>
          <w:u w:val="single"/>
        </w:rPr>
        <w:t xml:space="preserve">            </w:t>
      </w:r>
      <w:r>
        <w:rPr>
          <w:rFonts w:hint="eastAsia" w:ascii="宋体" w:hAnsi="宋体" w:cs="宋体"/>
          <w:sz w:val="24"/>
          <w:highlight w:val="none"/>
        </w:rPr>
        <w:t>（项目名称</w:t>
      </w:r>
      <w:r>
        <w:rPr>
          <w:rFonts w:hint="eastAsia" w:ascii="宋体" w:hAnsi="宋体" w:cs="宋体"/>
          <w:sz w:val="24"/>
          <w:highlight w:val="none"/>
          <w:lang w:eastAsia="zh-CN"/>
        </w:rPr>
        <w:t>、</w:t>
      </w:r>
      <w:r>
        <w:rPr>
          <w:rFonts w:hint="eastAsia" w:ascii="宋体" w:hAnsi="宋体" w:cs="宋体"/>
          <w:sz w:val="24"/>
          <w:highlight w:val="none"/>
          <w:lang w:val="en-US" w:eastAsia="zh-CN"/>
        </w:rPr>
        <w:t>标段</w:t>
      </w:r>
      <w:r>
        <w:rPr>
          <w:rFonts w:hint="eastAsia" w:ascii="宋体" w:hAnsi="宋体" w:cs="宋体"/>
          <w:sz w:val="24"/>
          <w:highlight w:val="none"/>
        </w:rPr>
        <w:t>）响应文件的全部内容，愿意以（大写）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（小写）</w:t>
      </w:r>
      <w:r>
        <w:rPr>
          <w:rFonts w:hint="eastAsia" w:ascii="宋体" w:hAnsi="宋体" w:cs="宋体"/>
          <w:sz w:val="24"/>
          <w:highlight w:val="none"/>
          <w:u w:val="single"/>
        </w:rPr>
        <w:t xml:space="preserve">           </w:t>
      </w:r>
      <w:r>
        <w:rPr>
          <w:rFonts w:hint="eastAsia" w:ascii="宋体" w:hAnsi="宋体" w:cs="宋体"/>
          <w:sz w:val="24"/>
          <w:highlight w:val="none"/>
        </w:rPr>
        <w:t>元的磋商报价，工期：</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，按合同约定实施和完成工程，修补工程中的任何缺陷，</w:t>
      </w:r>
      <w:r>
        <w:rPr>
          <w:rFonts w:hint="eastAsia" w:ascii="宋体" w:hAnsi="宋体" w:cs="宋体"/>
          <w:sz w:val="24"/>
          <w:highlight w:val="none"/>
          <w:lang w:eastAsia="zh-CN"/>
        </w:rPr>
        <w:t>质量要求</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u w:val="none"/>
          <w:lang w:eastAsia="zh-CN"/>
        </w:rPr>
        <w:t>。</w:t>
      </w:r>
    </w:p>
    <w:p w14:paraId="36E6D087">
      <w:pPr>
        <w:pageBreakBefore w:val="0"/>
        <w:kinsoku/>
        <w:overflowPunct/>
        <w:topLinePunct w:val="0"/>
        <w:bidi w:val="0"/>
        <w:spacing w:line="360" w:lineRule="auto"/>
        <w:ind w:firstLine="480" w:firstLineChars="200"/>
        <w:outlineLvl w:val="9"/>
        <w:rPr>
          <w:rFonts w:ascii="宋体" w:hAnsi="宋体" w:cs="宋体"/>
          <w:sz w:val="24"/>
          <w:highlight w:val="none"/>
        </w:rPr>
      </w:pPr>
      <w:r>
        <w:rPr>
          <w:rFonts w:hint="eastAsia" w:ascii="宋体" w:hAnsi="宋体" w:cs="宋体"/>
          <w:sz w:val="24"/>
          <w:highlight w:val="none"/>
        </w:rPr>
        <w:t>1.我方承诺在响应文件规定的磋商有效期内不撤销响应文件。</w:t>
      </w:r>
    </w:p>
    <w:p w14:paraId="09BC0DB7">
      <w:pPr>
        <w:pageBreakBefore w:val="0"/>
        <w:kinsoku/>
        <w:overflowPunct/>
        <w:topLinePunct w:val="0"/>
        <w:bidi w:val="0"/>
        <w:spacing w:line="360" w:lineRule="auto"/>
        <w:ind w:firstLine="480" w:firstLineChars="200"/>
        <w:outlineLvl w:val="9"/>
        <w:rPr>
          <w:rFonts w:ascii="宋体" w:hAnsi="宋体" w:cs="宋体"/>
          <w:sz w:val="24"/>
          <w:highlight w:val="none"/>
        </w:rPr>
      </w:pPr>
      <w:r>
        <w:rPr>
          <w:rFonts w:hint="eastAsia" w:ascii="宋体" w:hAnsi="宋体" w:cs="宋体"/>
          <w:sz w:val="24"/>
          <w:highlight w:val="none"/>
        </w:rPr>
        <w:t>2.如我方成交，我方承诺：</w:t>
      </w:r>
    </w:p>
    <w:p w14:paraId="568B6AE2">
      <w:pPr>
        <w:pageBreakBefore w:val="0"/>
        <w:kinsoku/>
        <w:overflowPunct/>
        <w:topLinePunct w:val="0"/>
        <w:bidi w:val="0"/>
        <w:spacing w:line="360" w:lineRule="auto"/>
        <w:ind w:firstLine="480" w:firstLineChars="200"/>
        <w:outlineLvl w:val="9"/>
        <w:rPr>
          <w:rFonts w:ascii="宋体" w:hAnsi="宋体" w:cs="宋体"/>
          <w:sz w:val="24"/>
          <w:highlight w:val="none"/>
        </w:rPr>
      </w:pPr>
      <w:r>
        <w:rPr>
          <w:rFonts w:hint="eastAsia" w:ascii="宋体" w:hAnsi="宋体" w:cs="宋体"/>
          <w:sz w:val="24"/>
          <w:highlight w:val="none"/>
        </w:rPr>
        <w:t>（1）在收到成交通知书后，在成交通知书规定的期限内与你方签订合同；</w:t>
      </w:r>
    </w:p>
    <w:p w14:paraId="0998C64A">
      <w:pPr>
        <w:pageBreakBefore w:val="0"/>
        <w:kinsoku/>
        <w:overflowPunct/>
        <w:topLinePunct w:val="0"/>
        <w:bidi w:val="0"/>
        <w:spacing w:line="360" w:lineRule="auto"/>
        <w:ind w:firstLine="480" w:firstLineChars="200"/>
        <w:outlineLvl w:val="9"/>
        <w:rPr>
          <w:rFonts w:ascii="宋体" w:hAnsi="宋体" w:cs="宋体"/>
          <w:sz w:val="24"/>
          <w:highlight w:val="none"/>
        </w:rPr>
      </w:pPr>
      <w:r>
        <w:rPr>
          <w:rFonts w:hint="eastAsia" w:ascii="宋体" w:hAnsi="宋体" w:cs="宋体"/>
          <w:sz w:val="24"/>
          <w:highlight w:val="none"/>
        </w:rPr>
        <w:t>（2）随同本磋商函递交的磋商函附录属于合同文件的组成部分。</w:t>
      </w:r>
    </w:p>
    <w:p w14:paraId="737E20D9">
      <w:pPr>
        <w:pageBreakBefore w:val="0"/>
        <w:kinsoku/>
        <w:overflowPunct/>
        <w:topLinePunct w:val="0"/>
        <w:bidi w:val="0"/>
        <w:spacing w:line="360" w:lineRule="auto"/>
        <w:ind w:firstLine="480" w:firstLineChars="200"/>
        <w:outlineLvl w:val="9"/>
        <w:rPr>
          <w:rFonts w:ascii="宋体" w:hAnsi="宋体" w:cs="宋体"/>
          <w:sz w:val="24"/>
          <w:highlight w:val="none"/>
        </w:rPr>
      </w:pPr>
      <w:r>
        <w:rPr>
          <w:rFonts w:hint="eastAsia" w:ascii="宋体" w:hAnsi="宋体" w:cs="宋体"/>
          <w:sz w:val="24"/>
          <w:highlight w:val="none"/>
        </w:rPr>
        <w:t>（3）我方承诺按照磋商文件规定向你方递交履约担保。</w:t>
      </w:r>
    </w:p>
    <w:p w14:paraId="086C7471">
      <w:pPr>
        <w:pageBreakBefore w:val="0"/>
        <w:kinsoku/>
        <w:overflowPunct/>
        <w:topLinePunct w:val="0"/>
        <w:bidi w:val="0"/>
        <w:spacing w:line="360" w:lineRule="auto"/>
        <w:ind w:firstLine="480" w:firstLineChars="200"/>
        <w:outlineLvl w:val="9"/>
        <w:rPr>
          <w:rFonts w:ascii="宋体" w:hAnsi="宋体" w:cs="宋体"/>
          <w:sz w:val="24"/>
          <w:highlight w:val="none"/>
        </w:rPr>
      </w:pPr>
      <w:r>
        <w:rPr>
          <w:rFonts w:hint="eastAsia" w:ascii="宋体" w:hAnsi="宋体" w:cs="宋体"/>
          <w:sz w:val="24"/>
          <w:highlight w:val="none"/>
        </w:rPr>
        <w:t>（4）我方承诺在合同约定的期限内完成并移交全部合同工程。</w:t>
      </w:r>
    </w:p>
    <w:p w14:paraId="3B177D6C">
      <w:pPr>
        <w:pageBreakBefore w:val="0"/>
        <w:kinsoku/>
        <w:overflowPunct/>
        <w:topLinePunct w:val="0"/>
        <w:bidi w:val="0"/>
        <w:spacing w:line="360" w:lineRule="auto"/>
        <w:ind w:firstLine="480" w:firstLineChars="200"/>
        <w:outlineLvl w:val="9"/>
        <w:rPr>
          <w:rFonts w:ascii="宋体" w:hAnsi="宋体" w:cs="宋体"/>
          <w:sz w:val="24"/>
          <w:highlight w:val="none"/>
        </w:rPr>
      </w:pPr>
      <w:r>
        <w:rPr>
          <w:rFonts w:hint="eastAsia" w:ascii="宋体" w:hAnsi="宋体" w:cs="宋体"/>
          <w:sz w:val="24"/>
          <w:highlight w:val="none"/>
        </w:rPr>
        <w:t>（5）我方承诺满足合同专用条款中补充条款的内容。</w:t>
      </w:r>
    </w:p>
    <w:p w14:paraId="3DEE1979">
      <w:pPr>
        <w:pageBreakBefore w:val="0"/>
        <w:kinsoku/>
        <w:overflowPunct/>
        <w:topLinePunct w:val="0"/>
        <w:bidi w:val="0"/>
        <w:spacing w:line="360" w:lineRule="auto"/>
        <w:ind w:firstLine="480" w:firstLineChars="200"/>
        <w:outlineLvl w:val="9"/>
        <w:rPr>
          <w:rFonts w:ascii="宋体" w:hAnsi="宋体" w:cs="宋体"/>
          <w:sz w:val="24"/>
          <w:highlight w:val="none"/>
        </w:rPr>
      </w:pPr>
      <w:r>
        <w:rPr>
          <w:rFonts w:hint="eastAsia" w:ascii="宋体" w:hAnsi="宋体" w:cs="宋体"/>
          <w:sz w:val="24"/>
          <w:highlight w:val="none"/>
        </w:rPr>
        <w:t>3．我方在此声明，所递交的响应文件及有关资料内容完整、真实和准确。</w:t>
      </w:r>
    </w:p>
    <w:p w14:paraId="61313324">
      <w:pPr>
        <w:pageBreakBefore w:val="0"/>
        <w:kinsoku/>
        <w:overflowPunct/>
        <w:topLinePunct w:val="0"/>
        <w:bidi w:val="0"/>
        <w:spacing w:line="360" w:lineRule="auto"/>
        <w:ind w:firstLine="480" w:firstLineChars="200"/>
        <w:outlineLvl w:val="9"/>
        <w:rPr>
          <w:rFonts w:ascii="宋体" w:hAnsi="宋体" w:cs="宋体"/>
          <w:sz w:val="24"/>
          <w:highlight w:val="none"/>
        </w:rPr>
      </w:pPr>
      <w:r>
        <w:rPr>
          <w:rFonts w:hint="eastAsia" w:ascii="宋体" w:hAnsi="宋体" w:cs="宋体"/>
          <w:sz w:val="24"/>
          <w:highlight w:val="none"/>
        </w:rPr>
        <w:t>4．</w:t>
      </w:r>
      <w:r>
        <w:rPr>
          <w:rFonts w:hint="eastAsia" w:ascii="宋体" w:hAnsi="宋体" w:cs="宋体"/>
          <w:sz w:val="24"/>
          <w:highlight w:val="none"/>
          <w:u w:val="single"/>
        </w:rPr>
        <w:t xml:space="preserve">               </w:t>
      </w:r>
      <w:r>
        <w:rPr>
          <w:rFonts w:hint="eastAsia" w:ascii="宋体" w:hAnsi="宋体" w:cs="宋体"/>
          <w:sz w:val="24"/>
          <w:highlight w:val="none"/>
        </w:rPr>
        <w:t>（其他补充说明）。</w:t>
      </w:r>
    </w:p>
    <w:p w14:paraId="584AF5AB">
      <w:pPr>
        <w:pageBreakBefore w:val="0"/>
        <w:kinsoku/>
        <w:overflowPunct/>
        <w:topLinePunct w:val="0"/>
        <w:bidi w:val="0"/>
        <w:spacing w:line="360" w:lineRule="auto"/>
        <w:outlineLvl w:val="9"/>
        <w:rPr>
          <w:rFonts w:ascii="宋体" w:hAnsi="宋体" w:cs="宋体"/>
          <w:sz w:val="24"/>
          <w:highlight w:val="none"/>
        </w:rPr>
      </w:pPr>
    </w:p>
    <w:p w14:paraId="4323A276">
      <w:pPr>
        <w:pageBreakBefore w:val="0"/>
        <w:kinsoku/>
        <w:overflowPunct/>
        <w:topLinePunct w:val="0"/>
        <w:bidi w:val="0"/>
        <w:spacing w:line="360" w:lineRule="auto"/>
        <w:outlineLvl w:val="9"/>
        <w:rPr>
          <w:rFonts w:ascii="宋体" w:hAnsi="宋体" w:cs="宋体"/>
          <w:sz w:val="24"/>
          <w:highlight w:val="none"/>
        </w:rPr>
      </w:pPr>
    </w:p>
    <w:p w14:paraId="3EB6F7B1">
      <w:pPr>
        <w:pageBreakBefore w:val="0"/>
        <w:kinsoku/>
        <w:overflowPunct/>
        <w:topLinePunct w:val="0"/>
        <w:bidi w:val="0"/>
        <w:spacing w:line="360" w:lineRule="auto"/>
        <w:outlineLvl w:val="9"/>
        <w:rPr>
          <w:rFonts w:ascii="宋体" w:hAnsi="宋体" w:cs="宋体"/>
          <w:sz w:val="24"/>
          <w:highlight w:val="none"/>
        </w:rPr>
      </w:pPr>
      <w:r>
        <w:rPr>
          <w:rFonts w:hint="eastAsia" w:ascii="宋体" w:hAnsi="宋体" w:cs="宋体"/>
          <w:sz w:val="24"/>
          <w:highlight w:val="none"/>
        </w:rPr>
        <w:t xml:space="preserve">                                供应商：</w:t>
      </w:r>
      <w:r>
        <w:rPr>
          <w:rFonts w:hint="eastAsia" w:ascii="宋体" w:hAnsi="宋体" w:cs="宋体"/>
          <w:sz w:val="24"/>
          <w:highlight w:val="none"/>
          <w:u w:val="single"/>
        </w:rPr>
        <w:t xml:space="preserve">                  </w:t>
      </w:r>
      <w:r>
        <w:rPr>
          <w:rFonts w:hint="eastAsia" w:ascii="宋体" w:hAnsi="宋体" w:cs="宋体"/>
          <w:sz w:val="24"/>
          <w:highlight w:val="none"/>
        </w:rPr>
        <w:t>（盖单位</w:t>
      </w:r>
      <w:r>
        <w:rPr>
          <w:rFonts w:hint="eastAsia" w:ascii="宋体" w:hAnsi="宋体" w:cs="宋体"/>
          <w:sz w:val="24"/>
          <w:highlight w:val="none"/>
          <w:lang w:eastAsia="zh-CN"/>
        </w:rPr>
        <w:t>公</w:t>
      </w:r>
      <w:r>
        <w:rPr>
          <w:rFonts w:hint="eastAsia" w:ascii="宋体" w:hAnsi="宋体" w:cs="宋体"/>
          <w:sz w:val="24"/>
          <w:highlight w:val="none"/>
        </w:rPr>
        <w:t>章）</w:t>
      </w:r>
    </w:p>
    <w:p w14:paraId="67562C04">
      <w:pPr>
        <w:pageBreakBefore w:val="0"/>
        <w:kinsoku/>
        <w:overflowPunct/>
        <w:topLinePunct w:val="0"/>
        <w:bidi w:val="0"/>
        <w:spacing w:line="360" w:lineRule="auto"/>
        <w:outlineLvl w:val="9"/>
        <w:rPr>
          <w:rFonts w:ascii="宋体" w:hAnsi="宋体" w:cs="宋体"/>
          <w:sz w:val="24"/>
          <w:highlight w:val="none"/>
        </w:rPr>
      </w:pPr>
      <w:r>
        <w:rPr>
          <w:rFonts w:hint="eastAsia" w:ascii="宋体" w:hAnsi="宋体" w:cs="宋体"/>
          <w:sz w:val="24"/>
          <w:highlight w:val="none"/>
        </w:rPr>
        <w:t xml:space="preserve">                                法定代表人：</w:t>
      </w:r>
      <w:r>
        <w:rPr>
          <w:rFonts w:hint="eastAsia" w:ascii="宋体" w:hAnsi="宋体" w:cs="宋体"/>
          <w:sz w:val="24"/>
          <w:highlight w:val="none"/>
          <w:u w:val="single"/>
        </w:rPr>
        <w:t xml:space="preserve">                </w:t>
      </w:r>
      <w:r>
        <w:rPr>
          <w:rFonts w:hint="eastAsia" w:ascii="宋体" w:hAnsi="宋体" w:cs="宋体"/>
          <w:sz w:val="24"/>
          <w:highlight w:val="none"/>
        </w:rPr>
        <w:t>（电子签章）</w:t>
      </w:r>
    </w:p>
    <w:p w14:paraId="39ECAE57">
      <w:pPr>
        <w:pageBreakBefore w:val="0"/>
        <w:kinsoku/>
        <w:overflowPunct/>
        <w:topLinePunct w:val="0"/>
        <w:bidi w:val="0"/>
        <w:spacing w:line="360" w:lineRule="auto"/>
        <w:outlineLvl w:val="9"/>
        <w:rPr>
          <w:rFonts w:hint="eastAsia" w:ascii="宋体" w:hAnsi="宋体" w:cs="宋体"/>
          <w:sz w:val="24"/>
          <w:highlight w:val="none"/>
          <w:u w:val="single"/>
        </w:rPr>
      </w:pPr>
      <w:r>
        <w:rPr>
          <w:rFonts w:hint="eastAsia" w:ascii="宋体" w:hAnsi="宋体" w:cs="宋体"/>
          <w:sz w:val="24"/>
          <w:highlight w:val="none"/>
        </w:rPr>
        <w:t xml:space="preserve">                                地  址：</w:t>
      </w:r>
      <w:r>
        <w:rPr>
          <w:rFonts w:hint="eastAsia" w:ascii="宋体" w:hAnsi="宋体" w:cs="宋体"/>
          <w:sz w:val="24"/>
          <w:highlight w:val="none"/>
          <w:u w:val="single"/>
        </w:rPr>
        <w:t xml:space="preserve">                           </w:t>
      </w:r>
    </w:p>
    <w:p w14:paraId="08BD2C64">
      <w:pPr>
        <w:pageBreakBefore w:val="0"/>
        <w:kinsoku/>
        <w:overflowPunct/>
        <w:topLinePunct w:val="0"/>
        <w:bidi w:val="0"/>
        <w:spacing w:line="360" w:lineRule="auto"/>
        <w:ind w:firstLine="3840" w:firstLineChars="1600"/>
        <w:outlineLvl w:val="9"/>
        <w:rPr>
          <w:rFonts w:hint="default" w:ascii="宋体" w:hAnsi="宋体" w:cs="宋体"/>
          <w:sz w:val="24"/>
          <w:highlight w:val="none"/>
          <w:lang w:val="en-US" w:eastAsia="zh-CN"/>
        </w:rPr>
      </w:pPr>
      <w:r>
        <w:rPr>
          <w:rFonts w:hint="eastAsia" w:ascii="宋体" w:hAnsi="宋体" w:cs="宋体"/>
          <w:sz w:val="24"/>
          <w:highlight w:val="none"/>
          <w:lang w:val="en-US" w:eastAsia="zh-CN"/>
        </w:rPr>
        <w:t>联系人:</w:t>
      </w: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 xml:space="preserve">  </w:t>
      </w:r>
    </w:p>
    <w:p w14:paraId="41B8D41E">
      <w:pPr>
        <w:pageBreakBefore w:val="0"/>
        <w:kinsoku/>
        <w:overflowPunct/>
        <w:topLinePunct w:val="0"/>
        <w:bidi w:val="0"/>
        <w:spacing w:line="360" w:lineRule="auto"/>
        <w:outlineLvl w:val="9"/>
        <w:rPr>
          <w:rFonts w:hint="eastAsia" w:ascii="宋体" w:hAnsi="宋体" w:cs="宋体"/>
          <w:sz w:val="24"/>
          <w:highlight w:val="none"/>
        </w:rPr>
      </w:pPr>
      <w:r>
        <w:rPr>
          <w:rFonts w:hint="eastAsia" w:ascii="宋体" w:hAnsi="宋体" w:cs="宋体"/>
          <w:sz w:val="24"/>
          <w:highlight w:val="none"/>
        </w:rPr>
        <w:t xml:space="preserve"> </w:t>
      </w:r>
      <w:r>
        <w:rPr>
          <w:rFonts w:hint="eastAsia" w:ascii="宋体" w:hAnsi="宋体" w:cs="宋体"/>
          <w:sz w:val="24"/>
          <w:highlight w:val="none"/>
          <w:lang w:val="en-US" w:eastAsia="zh-CN"/>
        </w:rPr>
        <w:t xml:space="preserve">                               </w:t>
      </w:r>
      <w:r>
        <w:rPr>
          <w:rFonts w:hint="eastAsia" w:ascii="宋体" w:hAnsi="宋体" w:cs="宋体"/>
          <w:sz w:val="24"/>
          <w:highlight w:val="none"/>
        </w:rPr>
        <w:t>电  话：</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15FD334A">
      <w:pPr>
        <w:pageBreakBefore w:val="0"/>
        <w:kinsoku/>
        <w:overflowPunct/>
        <w:topLinePunct w:val="0"/>
        <w:bidi w:val="0"/>
        <w:spacing w:line="360" w:lineRule="auto"/>
        <w:outlineLvl w:val="9"/>
        <w:rPr>
          <w:rFonts w:ascii="宋体" w:hAnsi="宋体" w:cs="宋体"/>
          <w:sz w:val="24"/>
          <w:highlight w:val="none"/>
          <w:u w:val="single"/>
        </w:rPr>
      </w:pPr>
      <w:r>
        <w:rPr>
          <w:rFonts w:hint="eastAsia" w:ascii="宋体" w:hAnsi="宋体" w:cs="宋体"/>
          <w:sz w:val="24"/>
          <w:highlight w:val="none"/>
        </w:rPr>
        <w:t xml:space="preserve">                                邮  箱：</w:t>
      </w:r>
      <w:r>
        <w:rPr>
          <w:rFonts w:hint="eastAsia" w:ascii="宋体" w:hAnsi="宋体" w:cs="宋体"/>
          <w:sz w:val="24"/>
          <w:highlight w:val="none"/>
          <w:u w:val="single"/>
        </w:rPr>
        <w:t xml:space="preserve">                           </w:t>
      </w:r>
      <w:r>
        <w:rPr>
          <w:rFonts w:hint="eastAsia" w:ascii="宋体" w:hAnsi="宋体" w:cs="宋体"/>
          <w:sz w:val="24"/>
          <w:highlight w:val="none"/>
        </w:rPr>
        <w:t xml:space="preserve">   </w:t>
      </w:r>
      <w:r>
        <w:rPr>
          <w:rFonts w:hint="eastAsia" w:ascii="宋体" w:hAnsi="宋体" w:cs="宋体"/>
          <w:sz w:val="24"/>
          <w:highlight w:val="none"/>
          <w:u w:val="single"/>
        </w:rPr>
        <w:t xml:space="preserve">  </w:t>
      </w:r>
    </w:p>
    <w:p w14:paraId="1794BC6F">
      <w:pPr>
        <w:pageBreakBefore w:val="0"/>
        <w:kinsoku/>
        <w:overflowPunct/>
        <w:topLinePunct w:val="0"/>
        <w:bidi w:val="0"/>
        <w:spacing w:line="480" w:lineRule="exact"/>
        <w:outlineLvl w:val="9"/>
        <w:rPr>
          <w:rFonts w:ascii="宋体" w:hAnsi="宋体" w:cs="宋体"/>
          <w:sz w:val="24"/>
          <w:highlight w:val="none"/>
        </w:rPr>
      </w:pPr>
      <w:r>
        <w:rPr>
          <w:rFonts w:hint="eastAsia" w:ascii="宋体" w:hAnsi="宋体" w:cs="宋体"/>
          <w:sz w:val="24"/>
          <w:highlight w:val="none"/>
        </w:rPr>
        <w:t xml:space="preserve">                                            日期：  年</w:t>
      </w:r>
      <w:r>
        <w:rPr>
          <w:rFonts w:hint="eastAsia" w:ascii="宋体" w:hAnsi="宋体" w:cs="宋体"/>
          <w:sz w:val="24"/>
          <w:highlight w:val="none"/>
        </w:rPr>
        <w:tab/>
      </w:r>
      <w:r>
        <w:rPr>
          <w:rFonts w:hint="eastAsia" w:ascii="宋体" w:hAnsi="宋体" w:cs="宋体"/>
          <w:sz w:val="24"/>
          <w:highlight w:val="none"/>
        </w:rPr>
        <w:t xml:space="preserve">  月</w:t>
      </w:r>
      <w:r>
        <w:rPr>
          <w:rFonts w:hint="eastAsia" w:ascii="宋体" w:hAnsi="宋体" w:cs="宋体"/>
          <w:sz w:val="24"/>
          <w:highlight w:val="none"/>
        </w:rPr>
        <w:tab/>
      </w:r>
      <w:r>
        <w:rPr>
          <w:rFonts w:hint="eastAsia" w:ascii="宋体" w:hAnsi="宋体" w:cs="宋体"/>
          <w:sz w:val="24"/>
          <w:highlight w:val="none"/>
        </w:rPr>
        <w:t>日</w:t>
      </w:r>
    </w:p>
    <w:p w14:paraId="0C4D4E2B">
      <w:pPr>
        <w:pageBreakBefore w:val="0"/>
        <w:kinsoku/>
        <w:overflowPunct/>
        <w:topLinePunct w:val="0"/>
        <w:bidi w:val="0"/>
        <w:outlineLvl w:val="9"/>
        <w:rPr>
          <w:rFonts w:ascii="宋体" w:hAnsi="宋体" w:cs="宋体"/>
          <w:sz w:val="24"/>
          <w:highlight w:val="none"/>
        </w:rPr>
      </w:pPr>
    </w:p>
    <w:p w14:paraId="2EC27EFB">
      <w:pPr>
        <w:pStyle w:val="38"/>
        <w:pageBreakBefore w:val="0"/>
        <w:kinsoku/>
        <w:overflowPunct/>
        <w:topLinePunct w:val="0"/>
        <w:bidi w:val="0"/>
        <w:outlineLvl w:val="9"/>
        <w:rPr>
          <w:highlight w:val="none"/>
        </w:rPr>
      </w:pPr>
    </w:p>
    <w:p w14:paraId="5EAB1AEF">
      <w:pPr>
        <w:pageBreakBefore w:val="0"/>
        <w:kinsoku/>
        <w:overflowPunct/>
        <w:topLinePunct w:val="0"/>
        <w:bidi w:val="0"/>
        <w:jc w:val="center"/>
        <w:outlineLvl w:val="9"/>
        <w:rPr>
          <w:rFonts w:ascii="宋体" w:hAnsi="宋体" w:cs="宋体"/>
          <w:b/>
          <w:bCs/>
          <w:sz w:val="28"/>
          <w:highlight w:val="none"/>
        </w:rPr>
      </w:pPr>
      <w:r>
        <w:rPr>
          <w:rFonts w:hint="eastAsia" w:ascii="宋体" w:hAnsi="宋体" w:cs="宋体"/>
          <w:b/>
          <w:bCs/>
          <w:sz w:val="28"/>
          <w:highlight w:val="none"/>
        </w:rPr>
        <w:t>（二）磋商函附录</w:t>
      </w:r>
    </w:p>
    <w:tbl>
      <w:tblPr>
        <w:tblStyle w:val="23"/>
        <w:tblpPr w:leftFromText="181" w:rightFromText="181" w:vertAnchor="text" w:horzAnchor="margin" w:tblpXSpec="center" w:tblpY="128"/>
        <w:tblOverlap w:val="never"/>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1948"/>
        <w:gridCol w:w="689"/>
        <w:gridCol w:w="1009"/>
        <w:gridCol w:w="1453"/>
        <w:gridCol w:w="2086"/>
      </w:tblGrid>
      <w:tr w14:paraId="48B21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474" w:type="dxa"/>
            <w:vAlign w:val="center"/>
          </w:tcPr>
          <w:p w14:paraId="27F03B5B">
            <w:pPr>
              <w:pageBreakBefore w:val="0"/>
              <w:kinsoku/>
              <w:overflowPunct/>
              <w:topLinePunct w:val="0"/>
              <w:bidi w:val="0"/>
              <w:spacing w:line="400" w:lineRule="exact"/>
              <w:jc w:val="center"/>
              <w:outlineLvl w:val="9"/>
              <w:rPr>
                <w:rFonts w:ascii="宋体" w:hAnsi="宋体" w:cs="宋体"/>
                <w:sz w:val="24"/>
                <w:highlight w:val="none"/>
              </w:rPr>
            </w:pPr>
            <w:r>
              <w:rPr>
                <w:rFonts w:hint="eastAsia" w:ascii="宋体" w:hAnsi="宋体" w:cs="宋体"/>
                <w:sz w:val="24"/>
                <w:highlight w:val="none"/>
              </w:rPr>
              <w:t>项目名称</w:t>
            </w:r>
          </w:p>
        </w:tc>
        <w:tc>
          <w:tcPr>
            <w:tcW w:w="7185" w:type="dxa"/>
            <w:gridSpan w:val="5"/>
            <w:vAlign w:val="center"/>
          </w:tcPr>
          <w:p w14:paraId="5EE2213E">
            <w:pPr>
              <w:pageBreakBefore w:val="0"/>
              <w:kinsoku/>
              <w:overflowPunct/>
              <w:topLinePunct w:val="0"/>
              <w:bidi w:val="0"/>
              <w:spacing w:line="400" w:lineRule="exact"/>
              <w:jc w:val="center"/>
              <w:outlineLvl w:val="9"/>
              <w:rPr>
                <w:rFonts w:ascii="宋体" w:hAnsi="宋体" w:cs="宋体"/>
                <w:sz w:val="24"/>
                <w:highlight w:val="none"/>
              </w:rPr>
            </w:pPr>
          </w:p>
        </w:tc>
      </w:tr>
      <w:tr w14:paraId="1D5FF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474" w:type="dxa"/>
            <w:vAlign w:val="center"/>
          </w:tcPr>
          <w:p w14:paraId="79BE07A8">
            <w:pPr>
              <w:pageBreakBefore w:val="0"/>
              <w:kinsoku/>
              <w:overflowPunct/>
              <w:topLinePunct w:val="0"/>
              <w:bidi w:val="0"/>
              <w:spacing w:line="400" w:lineRule="exact"/>
              <w:jc w:val="center"/>
              <w:outlineLvl w:val="9"/>
              <w:rPr>
                <w:rFonts w:hint="eastAsia" w:ascii="宋体" w:hAnsi="宋体" w:cs="宋体" w:eastAsiaTheme="minorEastAsia"/>
                <w:sz w:val="24"/>
                <w:highlight w:val="none"/>
                <w:lang w:eastAsia="zh-CN"/>
              </w:rPr>
            </w:pPr>
            <w:r>
              <w:rPr>
                <w:rFonts w:hint="eastAsia" w:ascii="宋体" w:hAnsi="宋体" w:cs="宋体"/>
                <w:sz w:val="24"/>
                <w:highlight w:val="none"/>
                <w:lang w:val="en-US" w:eastAsia="zh-CN"/>
              </w:rPr>
              <w:t>标段</w:t>
            </w:r>
            <w:r>
              <w:rPr>
                <w:rFonts w:hint="eastAsia" w:ascii="宋体" w:hAnsi="宋体" w:cs="宋体"/>
                <w:sz w:val="24"/>
                <w:highlight w:val="none"/>
                <w:lang w:eastAsia="zh-CN"/>
              </w:rPr>
              <w:t>名称</w:t>
            </w:r>
          </w:p>
        </w:tc>
        <w:tc>
          <w:tcPr>
            <w:tcW w:w="7185" w:type="dxa"/>
            <w:gridSpan w:val="5"/>
            <w:vAlign w:val="center"/>
          </w:tcPr>
          <w:p w14:paraId="435A1E15">
            <w:pPr>
              <w:pageBreakBefore w:val="0"/>
              <w:kinsoku/>
              <w:overflowPunct/>
              <w:topLinePunct w:val="0"/>
              <w:bidi w:val="0"/>
              <w:spacing w:line="400" w:lineRule="exact"/>
              <w:jc w:val="center"/>
              <w:outlineLvl w:val="9"/>
              <w:rPr>
                <w:rFonts w:ascii="宋体" w:hAnsi="宋体" w:cs="宋体"/>
                <w:sz w:val="24"/>
                <w:highlight w:val="none"/>
              </w:rPr>
            </w:pPr>
          </w:p>
        </w:tc>
      </w:tr>
      <w:tr w14:paraId="0C6BD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474" w:type="dxa"/>
            <w:vAlign w:val="center"/>
          </w:tcPr>
          <w:p w14:paraId="0802685A">
            <w:pPr>
              <w:pageBreakBefore w:val="0"/>
              <w:kinsoku/>
              <w:overflowPunct/>
              <w:topLinePunct w:val="0"/>
              <w:bidi w:val="0"/>
              <w:spacing w:line="400" w:lineRule="exact"/>
              <w:jc w:val="center"/>
              <w:outlineLvl w:val="9"/>
              <w:rPr>
                <w:rFonts w:ascii="宋体" w:hAnsi="宋体" w:cs="宋体"/>
                <w:sz w:val="24"/>
                <w:highlight w:val="none"/>
              </w:rPr>
            </w:pPr>
            <w:r>
              <w:rPr>
                <w:rFonts w:hint="eastAsia" w:ascii="宋体" w:hAnsi="宋体" w:cs="宋体"/>
                <w:sz w:val="24"/>
                <w:highlight w:val="none"/>
              </w:rPr>
              <w:t>供应商</w:t>
            </w:r>
          </w:p>
        </w:tc>
        <w:tc>
          <w:tcPr>
            <w:tcW w:w="7185" w:type="dxa"/>
            <w:gridSpan w:val="5"/>
            <w:vAlign w:val="center"/>
          </w:tcPr>
          <w:p w14:paraId="08F85187">
            <w:pPr>
              <w:pageBreakBefore w:val="0"/>
              <w:kinsoku/>
              <w:overflowPunct/>
              <w:topLinePunct w:val="0"/>
              <w:bidi w:val="0"/>
              <w:spacing w:line="400" w:lineRule="exact"/>
              <w:jc w:val="center"/>
              <w:outlineLvl w:val="9"/>
              <w:rPr>
                <w:rFonts w:ascii="宋体" w:hAnsi="宋体" w:cs="宋体"/>
                <w:sz w:val="24"/>
                <w:highlight w:val="none"/>
              </w:rPr>
            </w:pPr>
          </w:p>
        </w:tc>
      </w:tr>
      <w:tr w14:paraId="1F651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474" w:type="dxa"/>
            <w:vAlign w:val="center"/>
          </w:tcPr>
          <w:p w14:paraId="397096A8">
            <w:pPr>
              <w:pageBreakBefore w:val="0"/>
              <w:kinsoku/>
              <w:overflowPunct/>
              <w:topLinePunct w:val="0"/>
              <w:bidi w:val="0"/>
              <w:spacing w:line="400" w:lineRule="exact"/>
              <w:jc w:val="center"/>
              <w:outlineLvl w:val="9"/>
              <w:rPr>
                <w:rFonts w:hint="eastAsia" w:ascii="宋体" w:hAnsi="宋体" w:cs="宋体" w:eastAsiaTheme="minorEastAsia"/>
                <w:sz w:val="24"/>
                <w:highlight w:val="none"/>
                <w:lang w:eastAsia="zh-CN"/>
              </w:rPr>
            </w:pPr>
            <w:r>
              <w:rPr>
                <w:rFonts w:hint="eastAsia" w:ascii="宋体" w:hAnsi="宋体" w:cs="宋体"/>
                <w:sz w:val="24"/>
                <w:highlight w:val="none"/>
              </w:rPr>
              <w:t>项目</w:t>
            </w:r>
            <w:r>
              <w:rPr>
                <w:rFonts w:hint="eastAsia" w:ascii="宋体" w:hAnsi="宋体" w:cs="宋体"/>
                <w:sz w:val="24"/>
                <w:highlight w:val="none"/>
                <w:lang w:eastAsia="zh-CN"/>
              </w:rPr>
              <w:t>经理</w:t>
            </w:r>
          </w:p>
        </w:tc>
        <w:tc>
          <w:tcPr>
            <w:tcW w:w="1948" w:type="dxa"/>
            <w:vAlign w:val="center"/>
          </w:tcPr>
          <w:p w14:paraId="76EA14EC">
            <w:pPr>
              <w:pageBreakBefore w:val="0"/>
              <w:kinsoku/>
              <w:overflowPunct/>
              <w:topLinePunct w:val="0"/>
              <w:bidi w:val="0"/>
              <w:spacing w:line="400" w:lineRule="exact"/>
              <w:jc w:val="center"/>
              <w:outlineLvl w:val="9"/>
              <w:rPr>
                <w:rFonts w:ascii="宋体" w:hAnsi="宋体" w:cs="宋体"/>
                <w:sz w:val="24"/>
                <w:highlight w:val="none"/>
              </w:rPr>
            </w:pPr>
          </w:p>
        </w:tc>
        <w:tc>
          <w:tcPr>
            <w:tcW w:w="689" w:type="dxa"/>
            <w:vAlign w:val="center"/>
          </w:tcPr>
          <w:p w14:paraId="02BBC498">
            <w:pPr>
              <w:pageBreakBefore w:val="0"/>
              <w:kinsoku/>
              <w:overflowPunct/>
              <w:topLinePunct w:val="0"/>
              <w:bidi w:val="0"/>
              <w:spacing w:line="400" w:lineRule="exact"/>
              <w:jc w:val="center"/>
              <w:outlineLvl w:val="9"/>
              <w:rPr>
                <w:rFonts w:ascii="宋体" w:hAnsi="宋体" w:cs="宋体"/>
                <w:sz w:val="24"/>
                <w:highlight w:val="none"/>
              </w:rPr>
            </w:pPr>
            <w:r>
              <w:rPr>
                <w:rFonts w:hint="eastAsia" w:ascii="宋体" w:hAnsi="宋体" w:cs="宋体"/>
                <w:sz w:val="24"/>
                <w:highlight w:val="none"/>
              </w:rPr>
              <w:t>级别</w:t>
            </w:r>
          </w:p>
        </w:tc>
        <w:tc>
          <w:tcPr>
            <w:tcW w:w="1009" w:type="dxa"/>
            <w:vAlign w:val="center"/>
          </w:tcPr>
          <w:p w14:paraId="1698012C">
            <w:pPr>
              <w:pageBreakBefore w:val="0"/>
              <w:kinsoku/>
              <w:overflowPunct/>
              <w:topLinePunct w:val="0"/>
              <w:bidi w:val="0"/>
              <w:spacing w:line="400" w:lineRule="exact"/>
              <w:ind w:firstLine="240" w:firstLineChars="100"/>
              <w:jc w:val="center"/>
              <w:outlineLvl w:val="9"/>
              <w:rPr>
                <w:rFonts w:ascii="宋体" w:hAnsi="宋体" w:cs="宋体"/>
                <w:sz w:val="24"/>
                <w:highlight w:val="none"/>
              </w:rPr>
            </w:pPr>
          </w:p>
        </w:tc>
        <w:tc>
          <w:tcPr>
            <w:tcW w:w="1453" w:type="dxa"/>
            <w:vAlign w:val="center"/>
          </w:tcPr>
          <w:p w14:paraId="4EDFBE82">
            <w:pPr>
              <w:pageBreakBefore w:val="0"/>
              <w:kinsoku/>
              <w:overflowPunct/>
              <w:topLinePunct w:val="0"/>
              <w:bidi w:val="0"/>
              <w:spacing w:line="400" w:lineRule="exact"/>
              <w:jc w:val="center"/>
              <w:outlineLvl w:val="9"/>
              <w:rPr>
                <w:rFonts w:hint="eastAsia" w:ascii="宋体" w:hAnsi="宋体" w:cs="宋体" w:eastAsiaTheme="minorEastAsia"/>
                <w:sz w:val="24"/>
                <w:highlight w:val="none"/>
                <w:lang w:eastAsia="zh-CN"/>
              </w:rPr>
            </w:pPr>
            <w:r>
              <w:rPr>
                <w:rFonts w:hint="eastAsia" w:ascii="宋体" w:hAnsi="宋体" w:cs="宋体"/>
                <w:sz w:val="24"/>
                <w:highlight w:val="none"/>
                <w:lang w:eastAsia="zh-CN"/>
              </w:rPr>
              <w:t>证书编号</w:t>
            </w:r>
          </w:p>
        </w:tc>
        <w:tc>
          <w:tcPr>
            <w:tcW w:w="2086" w:type="dxa"/>
            <w:vAlign w:val="center"/>
          </w:tcPr>
          <w:p w14:paraId="6FC7E63E">
            <w:pPr>
              <w:pageBreakBefore w:val="0"/>
              <w:kinsoku/>
              <w:overflowPunct/>
              <w:topLinePunct w:val="0"/>
              <w:bidi w:val="0"/>
              <w:spacing w:line="400" w:lineRule="exact"/>
              <w:outlineLvl w:val="9"/>
              <w:rPr>
                <w:rFonts w:ascii="宋体" w:hAnsi="宋体" w:cs="宋体"/>
                <w:sz w:val="24"/>
                <w:highlight w:val="none"/>
              </w:rPr>
            </w:pPr>
          </w:p>
        </w:tc>
      </w:tr>
      <w:tr w14:paraId="56B4D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3422" w:type="dxa"/>
            <w:gridSpan w:val="2"/>
            <w:vAlign w:val="center"/>
          </w:tcPr>
          <w:p w14:paraId="4241A883">
            <w:pPr>
              <w:pageBreakBefore w:val="0"/>
              <w:kinsoku/>
              <w:overflowPunct/>
              <w:topLinePunct w:val="0"/>
              <w:bidi w:val="0"/>
              <w:spacing w:line="400" w:lineRule="exact"/>
              <w:jc w:val="center"/>
              <w:outlineLvl w:val="9"/>
              <w:rPr>
                <w:rFonts w:ascii="宋体" w:hAnsi="宋体" w:cs="宋体"/>
                <w:sz w:val="24"/>
                <w:highlight w:val="none"/>
              </w:rPr>
            </w:pPr>
            <w:r>
              <w:rPr>
                <w:rFonts w:hint="eastAsia" w:ascii="宋体" w:hAnsi="宋体" w:cs="宋体"/>
                <w:sz w:val="24"/>
                <w:highlight w:val="none"/>
              </w:rPr>
              <w:t>磋商内容</w:t>
            </w:r>
          </w:p>
        </w:tc>
        <w:tc>
          <w:tcPr>
            <w:tcW w:w="5237" w:type="dxa"/>
            <w:gridSpan w:val="4"/>
            <w:vAlign w:val="center"/>
          </w:tcPr>
          <w:p w14:paraId="7B0755FD">
            <w:pPr>
              <w:pageBreakBefore w:val="0"/>
              <w:kinsoku/>
              <w:overflowPunct/>
              <w:topLinePunct w:val="0"/>
              <w:bidi w:val="0"/>
              <w:spacing w:line="400" w:lineRule="exact"/>
              <w:outlineLvl w:val="9"/>
              <w:rPr>
                <w:rFonts w:ascii="宋体" w:hAnsi="宋体" w:cs="宋体"/>
                <w:sz w:val="24"/>
                <w:highlight w:val="none"/>
              </w:rPr>
            </w:pPr>
          </w:p>
        </w:tc>
      </w:tr>
      <w:tr w14:paraId="273C9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0" w:hRule="atLeast"/>
          <w:jc w:val="center"/>
        </w:trPr>
        <w:tc>
          <w:tcPr>
            <w:tcW w:w="3422" w:type="dxa"/>
            <w:gridSpan w:val="2"/>
            <w:vAlign w:val="center"/>
          </w:tcPr>
          <w:p w14:paraId="2A030FF8">
            <w:pPr>
              <w:pageBreakBefore w:val="0"/>
              <w:kinsoku/>
              <w:overflowPunct/>
              <w:topLinePunct w:val="0"/>
              <w:bidi w:val="0"/>
              <w:spacing w:line="400" w:lineRule="exact"/>
              <w:jc w:val="center"/>
              <w:outlineLvl w:val="9"/>
              <w:rPr>
                <w:rFonts w:ascii="宋体" w:hAnsi="宋体" w:cs="宋体"/>
                <w:sz w:val="24"/>
                <w:highlight w:val="none"/>
              </w:rPr>
            </w:pPr>
            <w:r>
              <w:rPr>
                <w:rFonts w:hint="eastAsia" w:ascii="宋体" w:hAnsi="宋体" w:cs="宋体"/>
                <w:sz w:val="24"/>
                <w:highlight w:val="none"/>
              </w:rPr>
              <w:t>磋商报价（元）</w:t>
            </w:r>
          </w:p>
        </w:tc>
        <w:tc>
          <w:tcPr>
            <w:tcW w:w="5237" w:type="dxa"/>
            <w:gridSpan w:val="4"/>
            <w:vAlign w:val="center"/>
          </w:tcPr>
          <w:p w14:paraId="6AED85DA">
            <w:pPr>
              <w:pageBreakBefore w:val="0"/>
              <w:kinsoku/>
              <w:overflowPunct/>
              <w:topLinePunct w:val="0"/>
              <w:bidi w:val="0"/>
              <w:spacing w:line="400" w:lineRule="exact"/>
              <w:outlineLvl w:val="9"/>
              <w:rPr>
                <w:rFonts w:hint="eastAsia" w:ascii="宋体" w:hAnsi="宋体" w:cs="宋体"/>
                <w:sz w:val="24"/>
                <w:highlight w:val="none"/>
                <w:u w:val="single"/>
              </w:rPr>
            </w:pPr>
            <w:r>
              <w:rPr>
                <w:rFonts w:hint="eastAsia" w:ascii="宋体" w:hAnsi="宋体" w:cs="宋体"/>
                <w:sz w:val="24"/>
                <w:highlight w:val="none"/>
              </w:rPr>
              <w:t>（大写）</w:t>
            </w:r>
            <w:r>
              <w:rPr>
                <w:rFonts w:hint="eastAsia" w:ascii="宋体" w:hAnsi="宋体" w:cs="宋体"/>
                <w:sz w:val="24"/>
                <w:highlight w:val="none"/>
                <w:u w:val="single"/>
              </w:rPr>
              <w:t xml:space="preserve">               </w:t>
            </w:r>
          </w:p>
          <w:p w14:paraId="47FD406E">
            <w:pPr>
              <w:pageBreakBefore w:val="0"/>
              <w:kinsoku/>
              <w:overflowPunct/>
              <w:topLinePunct w:val="0"/>
              <w:bidi w:val="0"/>
              <w:spacing w:line="400" w:lineRule="exact"/>
              <w:outlineLvl w:val="9"/>
              <w:rPr>
                <w:rFonts w:ascii="宋体" w:hAnsi="宋体" w:cs="宋体"/>
                <w:sz w:val="24"/>
                <w:highlight w:val="none"/>
              </w:rPr>
            </w:pPr>
            <w:r>
              <w:rPr>
                <w:rFonts w:hint="eastAsia" w:ascii="宋体" w:hAnsi="宋体" w:cs="宋体"/>
                <w:sz w:val="24"/>
                <w:highlight w:val="none"/>
              </w:rPr>
              <w:t>（小写）</w:t>
            </w:r>
            <w:r>
              <w:rPr>
                <w:rFonts w:hint="eastAsia" w:ascii="宋体" w:hAnsi="宋体" w:cs="宋体"/>
                <w:sz w:val="24"/>
                <w:highlight w:val="none"/>
                <w:u w:val="single"/>
              </w:rPr>
              <w:t xml:space="preserve">               </w:t>
            </w:r>
          </w:p>
        </w:tc>
      </w:tr>
      <w:tr w14:paraId="3912F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3422" w:type="dxa"/>
            <w:gridSpan w:val="2"/>
            <w:vAlign w:val="center"/>
          </w:tcPr>
          <w:p w14:paraId="36155736">
            <w:pPr>
              <w:pageBreakBefore w:val="0"/>
              <w:kinsoku/>
              <w:overflowPunct/>
              <w:topLinePunct w:val="0"/>
              <w:bidi w:val="0"/>
              <w:spacing w:line="400" w:lineRule="exact"/>
              <w:jc w:val="center"/>
              <w:outlineLvl w:val="9"/>
              <w:rPr>
                <w:rFonts w:ascii="宋体" w:hAnsi="宋体" w:cs="宋体"/>
                <w:sz w:val="24"/>
                <w:highlight w:val="none"/>
              </w:rPr>
            </w:pPr>
            <w:r>
              <w:rPr>
                <w:rFonts w:hint="eastAsia" w:ascii="宋体" w:hAnsi="宋体" w:cs="宋体"/>
                <w:sz w:val="24"/>
                <w:highlight w:val="none"/>
              </w:rPr>
              <w:t xml:space="preserve">质量要求 </w:t>
            </w:r>
          </w:p>
        </w:tc>
        <w:tc>
          <w:tcPr>
            <w:tcW w:w="5237" w:type="dxa"/>
            <w:gridSpan w:val="4"/>
            <w:vAlign w:val="center"/>
          </w:tcPr>
          <w:p w14:paraId="63CF642F">
            <w:pPr>
              <w:pageBreakBefore w:val="0"/>
              <w:kinsoku/>
              <w:overflowPunct/>
              <w:topLinePunct w:val="0"/>
              <w:bidi w:val="0"/>
              <w:spacing w:line="400" w:lineRule="exact"/>
              <w:jc w:val="center"/>
              <w:outlineLvl w:val="9"/>
              <w:rPr>
                <w:rFonts w:ascii="宋体" w:hAnsi="宋体" w:cs="宋体"/>
                <w:sz w:val="24"/>
                <w:highlight w:val="none"/>
              </w:rPr>
            </w:pPr>
            <w:r>
              <w:rPr>
                <w:rFonts w:hint="eastAsia" w:ascii="宋体" w:hAnsi="宋体" w:eastAsia="宋体"/>
                <w:color w:val="auto"/>
                <w:sz w:val="24"/>
                <w:szCs w:val="24"/>
                <w:highlight w:val="none"/>
                <w:lang w:val="en-US" w:eastAsia="zh-CN"/>
              </w:rPr>
              <w:t>合格，符合国家有关行业标准和相关法律法规规定</w:t>
            </w:r>
          </w:p>
        </w:tc>
      </w:tr>
      <w:tr w14:paraId="224F4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3422" w:type="dxa"/>
            <w:gridSpan w:val="2"/>
            <w:vAlign w:val="center"/>
          </w:tcPr>
          <w:p w14:paraId="5F5A675A">
            <w:pPr>
              <w:pageBreakBefore w:val="0"/>
              <w:kinsoku/>
              <w:overflowPunct/>
              <w:topLinePunct w:val="0"/>
              <w:bidi w:val="0"/>
              <w:spacing w:line="400" w:lineRule="exact"/>
              <w:jc w:val="center"/>
              <w:outlineLvl w:val="9"/>
              <w:rPr>
                <w:rFonts w:ascii="宋体" w:hAnsi="宋体" w:cs="宋体"/>
                <w:sz w:val="24"/>
                <w:highlight w:val="none"/>
              </w:rPr>
            </w:pPr>
            <w:r>
              <w:rPr>
                <w:rFonts w:hint="eastAsia" w:ascii="宋体" w:hAnsi="宋体" w:cs="宋体"/>
                <w:sz w:val="24"/>
                <w:highlight w:val="none"/>
              </w:rPr>
              <w:t>工期</w:t>
            </w:r>
          </w:p>
        </w:tc>
        <w:tc>
          <w:tcPr>
            <w:tcW w:w="5237" w:type="dxa"/>
            <w:gridSpan w:val="4"/>
            <w:vAlign w:val="center"/>
          </w:tcPr>
          <w:p w14:paraId="1386E1C0">
            <w:pPr>
              <w:pageBreakBefore w:val="0"/>
              <w:kinsoku/>
              <w:overflowPunct/>
              <w:topLinePunct w:val="0"/>
              <w:bidi w:val="0"/>
              <w:spacing w:line="400" w:lineRule="exact"/>
              <w:jc w:val="center"/>
              <w:outlineLvl w:val="9"/>
              <w:rPr>
                <w:rFonts w:ascii="宋体" w:hAnsi="宋体" w:cs="宋体"/>
                <w:sz w:val="24"/>
                <w:highlight w:val="none"/>
              </w:rPr>
            </w:pPr>
          </w:p>
        </w:tc>
      </w:tr>
      <w:tr w14:paraId="0C98F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3422" w:type="dxa"/>
            <w:gridSpan w:val="2"/>
            <w:vAlign w:val="center"/>
          </w:tcPr>
          <w:p w14:paraId="7D37D6D3">
            <w:pPr>
              <w:pageBreakBefore w:val="0"/>
              <w:kinsoku/>
              <w:overflowPunct/>
              <w:topLinePunct w:val="0"/>
              <w:bidi w:val="0"/>
              <w:spacing w:line="400" w:lineRule="exact"/>
              <w:jc w:val="center"/>
              <w:outlineLvl w:val="9"/>
              <w:rPr>
                <w:rFonts w:ascii="宋体" w:hAnsi="宋体" w:cs="宋体"/>
                <w:sz w:val="24"/>
                <w:highlight w:val="none"/>
              </w:rPr>
            </w:pPr>
            <w:r>
              <w:rPr>
                <w:rFonts w:hint="eastAsia" w:ascii="宋体" w:hAnsi="宋体" w:cs="宋体"/>
                <w:sz w:val="24"/>
                <w:highlight w:val="none"/>
              </w:rPr>
              <w:t>磋商有效期</w:t>
            </w:r>
          </w:p>
        </w:tc>
        <w:tc>
          <w:tcPr>
            <w:tcW w:w="5237" w:type="dxa"/>
            <w:gridSpan w:val="4"/>
            <w:vAlign w:val="center"/>
          </w:tcPr>
          <w:p w14:paraId="40AE4A08">
            <w:pPr>
              <w:pageBreakBefore w:val="0"/>
              <w:kinsoku/>
              <w:overflowPunct/>
              <w:topLinePunct w:val="0"/>
              <w:bidi w:val="0"/>
              <w:spacing w:line="400" w:lineRule="exact"/>
              <w:jc w:val="center"/>
              <w:outlineLvl w:val="9"/>
              <w:rPr>
                <w:rFonts w:ascii="宋体" w:hAnsi="宋体" w:cs="宋体"/>
                <w:sz w:val="24"/>
                <w:highlight w:val="none"/>
              </w:rPr>
            </w:pPr>
            <w:r>
              <w:rPr>
                <w:rFonts w:hint="eastAsia" w:ascii="宋体" w:hAnsi="宋体" w:cs="宋体"/>
                <w:sz w:val="24"/>
                <w:highlight w:val="none"/>
              </w:rPr>
              <w:t>提交响应文件截止时间后60日历天，有效期短于该期限的响应文件将被拒绝。</w:t>
            </w:r>
          </w:p>
        </w:tc>
      </w:tr>
      <w:tr w14:paraId="4A2D6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3422" w:type="dxa"/>
            <w:gridSpan w:val="2"/>
            <w:vAlign w:val="center"/>
          </w:tcPr>
          <w:p w14:paraId="1D01F988">
            <w:pPr>
              <w:pageBreakBefore w:val="0"/>
              <w:kinsoku/>
              <w:overflowPunct/>
              <w:topLinePunct w:val="0"/>
              <w:bidi w:val="0"/>
              <w:spacing w:line="400" w:lineRule="exact"/>
              <w:jc w:val="center"/>
              <w:outlineLvl w:val="9"/>
              <w:rPr>
                <w:rFonts w:ascii="宋体" w:hAnsi="宋体" w:cs="宋体"/>
                <w:sz w:val="24"/>
                <w:highlight w:val="none"/>
              </w:rPr>
            </w:pPr>
            <w:r>
              <w:rPr>
                <w:rFonts w:hint="eastAsia" w:ascii="宋体" w:hAnsi="宋体" w:cs="宋体"/>
                <w:sz w:val="24"/>
                <w:highlight w:val="none"/>
              </w:rPr>
              <w:t>其他说明</w:t>
            </w:r>
          </w:p>
        </w:tc>
        <w:tc>
          <w:tcPr>
            <w:tcW w:w="5237" w:type="dxa"/>
            <w:gridSpan w:val="4"/>
            <w:vAlign w:val="center"/>
          </w:tcPr>
          <w:p w14:paraId="17A63DB7">
            <w:pPr>
              <w:pageBreakBefore w:val="0"/>
              <w:kinsoku/>
              <w:overflowPunct/>
              <w:topLinePunct w:val="0"/>
              <w:bidi w:val="0"/>
              <w:spacing w:line="400" w:lineRule="exact"/>
              <w:outlineLvl w:val="9"/>
              <w:rPr>
                <w:rFonts w:ascii="宋体" w:hAnsi="宋体" w:cs="宋体"/>
                <w:sz w:val="24"/>
                <w:highlight w:val="none"/>
              </w:rPr>
            </w:pPr>
          </w:p>
        </w:tc>
      </w:tr>
    </w:tbl>
    <w:p w14:paraId="6650463F">
      <w:pPr>
        <w:pageBreakBefore w:val="0"/>
        <w:kinsoku/>
        <w:overflowPunct/>
        <w:topLinePunct w:val="0"/>
        <w:bidi w:val="0"/>
        <w:adjustRightInd w:val="0"/>
        <w:spacing w:line="165" w:lineRule="atLeast"/>
        <w:outlineLvl w:val="9"/>
        <w:rPr>
          <w:rFonts w:ascii="宋体" w:hAnsi="宋体" w:cs="宋体"/>
          <w:sz w:val="24"/>
          <w:highlight w:val="none"/>
        </w:rPr>
      </w:pPr>
    </w:p>
    <w:p w14:paraId="2CACA11F">
      <w:pPr>
        <w:pageBreakBefore w:val="0"/>
        <w:kinsoku/>
        <w:overflowPunct/>
        <w:topLinePunct w:val="0"/>
        <w:bidi w:val="0"/>
        <w:adjustRightInd w:val="0"/>
        <w:spacing w:line="240" w:lineRule="exact"/>
        <w:ind w:firstLine="2623" w:firstLineChars="1093"/>
        <w:outlineLvl w:val="9"/>
        <w:rPr>
          <w:rFonts w:hint="default" w:ascii="宋体" w:hAnsi="宋体" w:cs="宋体" w:eastAsiaTheme="minorEastAsia"/>
          <w:sz w:val="24"/>
          <w:highlight w:val="none"/>
          <w:u w:val="single"/>
          <w:lang w:val="en-US" w:eastAsia="zh-CN"/>
        </w:rPr>
      </w:pPr>
      <w:r>
        <w:rPr>
          <w:rFonts w:hint="eastAsia" w:ascii="宋体" w:hAnsi="宋体" w:cs="宋体"/>
          <w:sz w:val="24"/>
          <w:highlight w:val="none"/>
        </w:rPr>
        <w:t xml:space="preserve">            </w:t>
      </w:r>
    </w:p>
    <w:p w14:paraId="48FA823D">
      <w:pPr>
        <w:pageBreakBefore w:val="0"/>
        <w:kinsoku/>
        <w:overflowPunct/>
        <w:topLinePunct w:val="0"/>
        <w:bidi w:val="0"/>
        <w:spacing w:line="360" w:lineRule="auto"/>
        <w:jc w:val="right"/>
        <w:outlineLvl w:val="9"/>
        <w:rPr>
          <w:rFonts w:hint="eastAsia" w:ascii="宋体" w:hAnsi="宋体" w:cs="宋体"/>
          <w:sz w:val="24"/>
          <w:highlight w:val="none"/>
        </w:rPr>
      </w:pPr>
    </w:p>
    <w:p w14:paraId="6FE1ADBF">
      <w:pPr>
        <w:pageBreakBefore w:val="0"/>
        <w:kinsoku/>
        <w:overflowPunct/>
        <w:topLinePunct w:val="0"/>
        <w:bidi w:val="0"/>
        <w:spacing w:line="360" w:lineRule="auto"/>
        <w:jc w:val="right"/>
        <w:outlineLvl w:val="9"/>
        <w:rPr>
          <w:rFonts w:hint="eastAsia" w:ascii="宋体" w:hAnsi="宋体" w:cs="宋体"/>
          <w:sz w:val="24"/>
          <w:highlight w:val="none"/>
        </w:rPr>
      </w:pPr>
    </w:p>
    <w:p w14:paraId="476999DD">
      <w:pPr>
        <w:pageBreakBefore w:val="0"/>
        <w:kinsoku/>
        <w:overflowPunct/>
        <w:topLinePunct w:val="0"/>
        <w:bidi w:val="0"/>
        <w:spacing w:line="360" w:lineRule="auto"/>
        <w:jc w:val="right"/>
        <w:outlineLvl w:val="9"/>
        <w:rPr>
          <w:rFonts w:ascii="宋体" w:hAnsi="宋体" w:cs="宋体"/>
          <w:sz w:val="24"/>
          <w:highlight w:val="none"/>
        </w:rPr>
      </w:pPr>
      <w:r>
        <w:rPr>
          <w:rFonts w:hint="eastAsia" w:ascii="宋体" w:hAnsi="宋体" w:cs="宋体"/>
          <w:sz w:val="24"/>
          <w:highlight w:val="none"/>
        </w:rPr>
        <w:t>供应商：</w:t>
      </w:r>
      <w:r>
        <w:rPr>
          <w:rFonts w:hint="eastAsia" w:ascii="宋体" w:hAnsi="宋体" w:cs="宋体"/>
          <w:sz w:val="24"/>
          <w:highlight w:val="none"/>
          <w:u w:val="single"/>
        </w:rPr>
        <w:t xml:space="preserve">                  </w:t>
      </w:r>
      <w:r>
        <w:rPr>
          <w:rFonts w:hint="eastAsia" w:ascii="宋体" w:hAnsi="宋体" w:cs="宋体"/>
          <w:sz w:val="24"/>
          <w:highlight w:val="none"/>
        </w:rPr>
        <w:t>（盖单位</w:t>
      </w:r>
      <w:r>
        <w:rPr>
          <w:rFonts w:hint="eastAsia" w:ascii="宋体" w:hAnsi="宋体" w:cs="宋体"/>
          <w:sz w:val="24"/>
          <w:highlight w:val="none"/>
          <w:lang w:eastAsia="zh-CN"/>
        </w:rPr>
        <w:t>公</w:t>
      </w:r>
      <w:r>
        <w:rPr>
          <w:rFonts w:hint="eastAsia" w:ascii="宋体" w:hAnsi="宋体" w:cs="宋体"/>
          <w:sz w:val="24"/>
          <w:highlight w:val="none"/>
        </w:rPr>
        <w:t>章）</w:t>
      </w:r>
    </w:p>
    <w:p w14:paraId="26C9221E">
      <w:pPr>
        <w:pageBreakBefore w:val="0"/>
        <w:kinsoku/>
        <w:overflowPunct/>
        <w:topLinePunct w:val="0"/>
        <w:bidi w:val="0"/>
        <w:adjustRightInd w:val="0"/>
        <w:spacing w:line="240" w:lineRule="exact"/>
        <w:ind w:firstLine="2623" w:firstLineChars="1093"/>
        <w:outlineLvl w:val="9"/>
        <w:rPr>
          <w:rFonts w:ascii="宋体" w:hAnsi="宋体" w:cs="宋体"/>
          <w:sz w:val="24"/>
          <w:highlight w:val="none"/>
        </w:rPr>
      </w:pPr>
    </w:p>
    <w:p w14:paraId="52EDA4B3">
      <w:pPr>
        <w:pageBreakBefore w:val="0"/>
        <w:kinsoku/>
        <w:overflowPunct/>
        <w:topLinePunct w:val="0"/>
        <w:bidi w:val="0"/>
        <w:adjustRightInd w:val="0"/>
        <w:spacing w:line="240" w:lineRule="exact"/>
        <w:ind w:firstLine="2623" w:firstLineChars="1093"/>
        <w:outlineLvl w:val="9"/>
        <w:rPr>
          <w:rFonts w:ascii="宋体" w:hAnsi="宋体" w:cs="宋体"/>
          <w:sz w:val="24"/>
          <w:highlight w:val="none"/>
        </w:rPr>
      </w:pPr>
      <w:r>
        <w:rPr>
          <w:rFonts w:hint="eastAsia" w:ascii="宋体" w:hAnsi="宋体" w:cs="宋体"/>
          <w:sz w:val="24"/>
          <w:highlight w:val="none"/>
        </w:rPr>
        <w:t xml:space="preserve">        法定代表人：</w:t>
      </w:r>
      <w:r>
        <w:rPr>
          <w:rFonts w:hint="eastAsia" w:ascii="宋体" w:hAnsi="宋体" w:cs="宋体"/>
          <w:sz w:val="24"/>
          <w:highlight w:val="none"/>
          <w:u w:val="single"/>
        </w:rPr>
        <w:t xml:space="preserve">                  </w:t>
      </w:r>
      <w:r>
        <w:rPr>
          <w:rFonts w:hint="eastAsia" w:ascii="宋体" w:hAnsi="宋体" w:cs="宋体"/>
          <w:sz w:val="24"/>
          <w:highlight w:val="none"/>
        </w:rPr>
        <w:t>（电子签章）</w:t>
      </w:r>
    </w:p>
    <w:p w14:paraId="761FBD33">
      <w:pPr>
        <w:pageBreakBefore w:val="0"/>
        <w:kinsoku/>
        <w:overflowPunct/>
        <w:topLinePunct w:val="0"/>
        <w:bidi w:val="0"/>
        <w:adjustRightInd w:val="0"/>
        <w:spacing w:line="240" w:lineRule="exact"/>
        <w:outlineLvl w:val="9"/>
        <w:rPr>
          <w:rFonts w:ascii="宋体" w:hAnsi="宋体" w:cs="宋体"/>
          <w:sz w:val="24"/>
          <w:highlight w:val="none"/>
        </w:rPr>
      </w:pPr>
    </w:p>
    <w:p w14:paraId="12DE224F">
      <w:pPr>
        <w:pageBreakBefore w:val="0"/>
        <w:kinsoku/>
        <w:overflowPunct/>
        <w:topLinePunct w:val="0"/>
        <w:bidi w:val="0"/>
        <w:outlineLvl w:val="9"/>
        <w:rPr>
          <w:rFonts w:ascii="宋体" w:hAnsi="宋体" w:cs="宋体"/>
          <w:b/>
          <w:sz w:val="24"/>
          <w:highlight w:val="none"/>
        </w:rPr>
      </w:pPr>
      <w:r>
        <w:rPr>
          <w:rFonts w:hint="eastAsia" w:ascii="宋体" w:hAnsi="宋体" w:cs="宋体"/>
          <w:sz w:val="24"/>
          <w:highlight w:val="none"/>
        </w:rPr>
        <w:t xml:space="preserve">                                                     年    月    日</w:t>
      </w:r>
    </w:p>
    <w:p w14:paraId="2C492F72">
      <w:pPr>
        <w:pageBreakBefore w:val="0"/>
        <w:widowControl/>
        <w:kinsoku/>
        <w:overflowPunct/>
        <w:topLinePunct w:val="0"/>
        <w:bidi w:val="0"/>
        <w:jc w:val="left"/>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56A3376B">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二、法定代表人身份证明及授权委托书</w:t>
      </w:r>
    </w:p>
    <w:p w14:paraId="101089B7">
      <w:pPr>
        <w:keepNext w:val="0"/>
        <w:keepLines w:val="0"/>
        <w:pageBreakBefore w:val="0"/>
        <w:widowControl w:val="0"/>
        <w:kinsoku/>
        <w:wordWrap/>
        <w:overflowPunct/>
        <w:topLinePunct w:val="0"/>
        <w:autoSpaceDE/>
        <w:autoSpaceDN/>
        <w:bidi w:val="0"/>
        <w:adjustRightInd/>
        <w:snapToGrid/>
        <w:spacing w:line="360" w:lineRule="auto"/>
        <w:ind w:firstLine="198"/>
        <w:jc w:val="center"/>
        <w:textAlignment w:val="auto"/>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（一）法定代表人身份证明</w:t>
      </w:r>
    </w:p>
    <w:p w14:paraId="2E3707E0">
      <w:pPr>
        <w:pageBreakBefore w:val="0"/>
        <w:kinsoku/>
        <w:overflowPunct/>
        <w:topLinePunct w:val="0"/>
        <w:bidi w:val="0"/>
        <w:spacing w:line="560" w:lineRule="exact"/>
        <w:ind w:left="718" w:leftChars="342"/>
        <w:outlineLvl w:val="9"/>
        <w:rPr>
          <w:rFonts w:ascii="宋体" w:hAnsi="宋体" w:cs="宋体"/>
          <w:sz w:val="24"/>
          <w:highlight w:val="none"/>
          <w:u w:val="single"/>
        </w:rPr>
      </w:pPr>
      <w:r>
        <w:rPr>
          <w:rFonts w:hint="eastAsia" w:ascii="宋体" w:hAnsi="宋体" w:cs="宋体"/>
          <w:sz w:val="24"/>
          <w:highlight w:val="none"/>
        </w:rPr>
        <w:t>供应商名称：</w:t>
      </w:r>
      <w:r>
        <w:rPr>
          <w:rFonts w:hint="eastAsia" w:ascii="宋体" w:hAnsi="宋体" w:cs="宋体"/>
          <w:sz w:val="24"/>
          <w:highlight w:val="none"/>
          <w:u w:val="single"/>
        </w:rPr>
        <w:t xml:space="preserve">                                 </w:t>
      </w:r>
    </w:p>
    <w:p w14:paraId="03C4356E">
      <w:pPr>
        <w:pageBreakBefore w:val="0"/>
        <w:kinsoku/>
        <w:overflowPunct/>
        <w:topLinePunct w:val="0"/>
        <w:bidi w:val="0"/>
        <w:spacing w:line="560" w:lineRule="exact"/>
        <w:ind w:left="718" w:leftChars="342"/>
        <w:outlineLvl w:val="9"/>
        <w:rPr>
          <w:rFonts w:ascii="宋体" w:hAnsi="宋体" w:cs="宋体"/>
          <w:sz w:val="24"/>
          <w:highlight w:val="none"/>
        </w:rPr>
      </w:pPr>
      <w:r>
        <w:rPr>
          <w:rFonts w:hint="eastAsia" w:ascii="宋体" w:hAnsi="宋体" w:cs="宋体"/>
          <w:sz w:val="24"/>
          <w:highlight w:val="none"/>
        </w:rPr>
        <w:t>单位性质：</w:t>
      </w:r>
      <w:r>
        <w:rPr>
          <w:rFonts w:hint="eastAsia" w:ascii="宋体" w:hAnsi="宋体" w:cs="宋体"/>
          <w:sz w:val="24"/>
          <w:highlight w:val="none"/>
          <w:u w:val="single"/>
        </w:rPr>
        <w:t xml:space="preserve">                                   </w:t>
      </w:r>
    </w:p>
    <w:p w14:paraId="06635F1E">
      <w:pPr>
        <w:pageBreakBefore w:val="0"/>
        <w:kinsoku/>
        <w:overflowPunct/>
        <w:topLinePunct w:val="0"/>
        <w:bidi w:val="0"/>
        <w:spacing w:line="560" w:lineRule="exact"/>
        <w:ind w:left="718" w:leftChars="342"/>
        <w:outlineLvl w:val="9"/>
        <w:rPr>
          <w:rFonts w:ascii="宋体" w:hAnsi="宋体" w:cs="宋体"/>
          <w:sz w:val="24"/>
          <w:highlight w:val="none"/>
        </w:rPr>
      </w:pPr>
      <w:r>
        <w:rPr>
          <w:rFonts w:hint="eastAsia" w:ascii="宋体" w:hAnsi="宋体" w:cs="宋体"/>
          <w:sz w:val="24"/>
          <w:highlight w:val="none"/>
        </w:rPr>
        <w:t>地    址：</w:t>
      </w:r>
      <w:r>
        <w:rPr>
          <w:rFonts w:hint="eastAsia" w:ascii="宋体" w:hAnsi="宋体" w:cs="宋体"/>
          <w:sz w:val="24"/>
          <w:highlight w:val="none"/>
          <w:u w:val="single"/>
        </w:rPr>
        <w:t xml:space="preserve">                                   </w:t>
      </w:r>
    </w:p>
    <w:p w14:paraId="588F2555">
      <w:pPr>
        <w:pageBreakBefore w:val="0"/>
        <w:kinsoku/>
        <w:overflowPunct/>
        <w:topLinePunct w:val="0"/>
        <w:bidi w:val="0"/>
        <w:spacing w:line="560" w:lineRule="exact"/>
        <w:ind w:left="718" w:leftChars="342"/>
        <w:outlineLvl w:val="9"/>
        <w:rPr>
          <w:rFonts w:ascii="宋体" w:hAnsi="宋体" w:cs="宋体"/>
          <w:sz w:val="24"/>
          <w:highlight w:val="none"/>
        </w:rPr>
      </w:pPr>
      <w:r>
        <w:rPr>
          <w:rFonts w:hint="eastAsia" w:ascii="宋体" w:hAnsi="宋体" w:cs="宋体"/>
          <w:sz w:val="24"/>
          <w:highlight w:val="none"/>
        </w:rPr>
        <w:t>成立时间：</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3CB75E74">
      <w:pPr>
        <w:pageBreakBefore w:val="0"/>
        <w:kinsoku/>
        <w:overflowPunct/>
        <w:topLinePunct w:val="0"/>
        <w:bidi w:val="0"/>
        <w:spacing w:line="560" w:lineRule="exact"/>
        <w:ind w:left="718" w:leftChars="342"/>
        <w:outlineLvl w:val="9"/>
        <w:rPr>
          <w:rFonts w:ascii="宋体" w:hAnsi="宋体" w:cs="宋体"/>
          <w:sz w:val="24"/>
          <w:highlight w:val="none"/>
        </w:rPr>
      </w:pPr>
      <w:r>
        <w:rPr>
          <w:rFonts w:hint="eastAsia" w:ascii="宋体" w:hAnsi="宋体" w:cs="宋体"/>
          <w:sz w:val="24"/>
          <w:highlight w:val="none"/>
        </w:rPr>
        <w:t>经营期限：</w:t>
      </w:r>
      <w:r>
        <w:rPr>
          <w:rFonts w:hint="eastAsia" w:ascii="宋体" w:hAnsi="宋体" w:cs="宋体"/>
          <w:sz w:val="24"/>
          <w:highlight w:val="none"/>
          <w:u w:val="single"/>
        </w:rPr>
        <w:t xml:space="preserve">                                 </w:t>
      </w:r>
    </w:p>
    <w:p w14:paraId="307484EE">
      <w:pPr>
        <w:pageBreakBefore w:val="0"/>
        <w:kinsoku/>
        <w:overflowPunct/>
        <w:topLinePunct w:val="0"/>
        <w:bidi w:val="0"/>
        <w:spacing w:line="560" w:lineRule="exact"/>
        <w:ind w:left="718" w:leftChars="342"/>
        <w:outlineLvl w:val="9"/>
        <w:rPr>
          <w:rFonts w:ascii="宋体" w:hAnsi="宋体" w:cs="宋体"/>
          <w:sz w:val="24"/>
          <w:highlight w:val="none"/>
        </w:rPr>
      </w:pPr>
      <w:r>
        <w:rPr>
          <w:rFonts w:hint="eastAsia" w:ascii="宋体" w:hAnsi="宋体" w:cs="宋体"/>
          <w:sz w:val="24"/>
          <w:highlight w:val="none"/>
        </w:rPr>
        <w:t>姓名：</w:t>
      </w:r>
      <w:r>
        <w:rPr>
          <w:rFonts w:hint="eastAsia" w:ascii="宋体" w:hAnsi="宋体" w:cs="宋体"/>
          <w:sz w:val="24"/>
          <w:highlight w:val="none"/>
          <w:u w:val="single"/>
        </w:rPr>
        <w:t xml:space="preserve">         </w:t>
      </w:r>
      <w:r>
        <w:rPr>
          <w:rFonts w:hint="eastAsia" w:ascii="宋体" w:hAnsi="宋体" w:cs="宋体"/>
          <w:sz w:val="24"/>
          <w:highlight w:val="none"/>
        </w:rPr>
        <w:t>性别：</w:t>
      </w:r>
      <w:r>
        <w:rPr>
          <w:rFonts w:hint="eastAsia" w:ascii="宋体" w:hAnsi="宋体" w:cs="宋体"/>
          <w:sz w:val="24"/>
          <w:highlight w:val="none"/>
          <w:u w:val="single"/>
        </w:rPr>
        <w:t xml:space="preserve">       </w:t>
      </w:r>
      <w:r>
        <w:rPr>
          <w:rFonts w:hint="eastAsia" w:ascii="宋体" w:hAnsi="宋体" w:cs="宋体"/>
          <w:sz w:val="24"/>
          <w:highlight w:val="none"/>
        </w:rPr>
        <w:t>年龄：</w:t>
      </w:r>
      <w:r>
        <w:rPr>
          <w:rFonts w:hint="eastAsia" w:ascii="宋体" w:hAnsi="宋体" w:cs="宋体"/>
          <w:sz w:val="24"/>
          <w:highlight w:val="none"/>
          <w:u w:val="single"/>
        </w:rPr>
        <w:t xml:space="preserve">     </w:t>
      </w:r>
      <w:r>
        <w:rPr>
          <w:rFonts w:hint="eastAsia" w:ascii="宋体" w:hAnsi="宋体" w:cs="宋体"/>
          <w:sz w:val="24"/>
          <w:highlight w:val="none"/>
        </w:rPr>
        <w:t>职务：</w:t>
      </w:r>
      <w:r>
        <w:rPr>
          <w:rFonts w:hint="eastAsia" w:ascii="宋体" w:hAnsi="宋体" w:cs="宋体"/>
          <w:sz w:val="24"/>
          <w:highlight w:val="none"/>
          <w:u w:val="single"/>
        </w:rPr>
        <w:t xml:space="preserve">      </w:t>
      </w:r>
    </w:p>
    <w:p w14:paraId="558680B0">
      <w:pPr>
        <w:pageBreakBefore w:val="0"/>
        <w:kinsoku/>
        <w:overflowPunct/>
        <w:topLinePunct w:val="0"/>
        <w:bidi w:val="0"/>
        <w:spacing w:line="560" w:lineRule="exact"/>
        <w:ind w:left="718" w:leftChars="342"/>
        <w:outlineLvl w:val="9"/>
        <w:rPr>
          <w:rFonts w:ascii="宋体" w:hAnsi="宋体" w:cs="宋体"/>
          <w:sz w:val="24"/>
          <w:highlight w:val="none"/>
        </w:rPr>
      </w:pPr>
      <w:r>
        <w:rPr>
          <w:rFonts w:hint="eastAsia" w:ascii="宋体" w:hAnsi="宋体" w:cs="宋体"/>
          <w:sz w:val="24"/>
          <w:highlight w:val="none"/>
        </w:rPr>
        <w:t>系</w:t>
      </w:r>
      <w:r>
        <w:rPr>
          <w:rFonts w:hint="eastAsia" w:ascii="宋体" w:hAnsi="宋体" w:cs="宋体"/>
          <w:sz w:val="24"/>
          <w:highlight w:val="none"/>
          <w:u w:val="single"/>
        </w:rPr>
        <w:t xml:space="preserve">                    </w:t>
      </w:r>
      <w:r>
        <w:rPr>
          <w:rFonts w:hint="eastAsia" w:ascii="宋体" w:hAnsi="宋体" w:cs="宋体"/>
          <w:sz w:val="24"/>
          <w:highlight w:val="none"/>
        </w:rPr>
        <w:t>（供应商单位名称）的法定代表人。</w:t>
      </w:r>
    </w:p>
    <w:p w14:paraId="0D4D9147">
      <w:pPr>
        <w:pageBreakBefore w:val="0"/>
        <w:kinsoku/>
        <w:overflowPunct/>
        <w:topLinePunct w:val="0"/>
        <w:bidi w:val="0"/>
        <w:spacing w:line="440" w:lineRule="exact"/>
        <w:ind w:left="718" w:leftChars="342"/>
        <w:outlineLvl w:val="9"/>
        <w:rPr>
          <w:rFonts w:ascii="宋体" w:hAnsi="宋体" w:cs="宋体"/>
          <w:sz w:val="24"/>
          <w:highlight w:val="none"/>
        </w:rPr>
      </w:pPr>
      <w:r>
        <w:rPr>
          <w:rFonts w:hint="eastAsia" w:ascii="宋体" w:hAnsi="宋体" w:cs="宋体"/>
          <w:sz w:val="24"/>
          <w:highlight w:val="none"/>
        </w:rPr>
        <w:t>特此证明。</w:t>
      </w:r>
    </w:p>
    <w:p w14:paraId="03E22208">
      <w:pPr>
        <w:pageBreakBefore w:val="0"/>
        <w:kinsoku/>
        <w:overflowPunct/>
        <w:topLinePunct w:val="0"/>
        <w:bidi w:val="0"/>
        <w:spacing w:line="440" w:lineRule="exact"/>
        <w:outlineLvl w:val="9"/>
        <w:rPr>
          <w:rFonts w:ascii="宋体" w:hAnsi="宋体" w:cs="宋体"/>
          <w:sz w:val="24"/>
          <w:highlight w:val="none"/>
        </w:rPr>
      </w:pPr>
    </w:p>
    <w:p w14:paraId="09DE1769">
      <w:pPr>
        <w:pageBreakBefore w:val="0"/>
        <w:kinsoku/>
        <w:overflowPunct/>
        <w:topLinePunct w:val="0"/>
        <w:bidi w:val="0"/>
        <w:spacing w:line="560" w:lineRule="exact"/>
        <w:ind w:left="718" w:leftChars="342"/>
        <w:outlineLvl w:val="9"/>
        <w:rPr>
          <w:rFonts w:ascii="宋体" w:hAnsi="宋体" w:cs="宋体"/>
          <w:sz w:val="24"/>
          <w:highlight w:val="none"/>
        </w:rPr>
      </w:pPr>
      <w:r>
        <w:rPr>
          <w:rFonts w:hint="eastAsia" w:ascii="宋体" w:hAnsi="宋体" w:cs="宋体"/>
          <w:sz w:val="24"/>
          <w:highlight w:val="none"/>
        </w:rPr>
        <w:t>附：法定代表人身份证复印件</w:t>
      </w:r>
    </w:p>
    <w:p w14:paraId="6469B6B9">
      <w:pPr>
        <w:pageBreakBefore w:val="0"/>
        <w:kinsoku/>
        <w:overflowPunct/>
        <w:topLinePunct w:val="0"/>
        <w:bidi w:val="0"/>
        <w:spacing w:line="440" w:lineRule="exact"/>
        <w:outlineLvl w:val="9"/>
        <w:rPr>
          <w:rFonts w:ascii="宋体" w:hAnsi="宋体" w:cs="宋体"/>
          <w:sz w:val="24"/>
          <w:highlight w:val="none"/>
        </w:rPr>
      </w:pPr>
    </w:p>
    <w:p w14:paraId="6E5E44C0">
      <w:pPr>
        <w:pageBreakBefore w:val="0"/>
        <w:kinsoku/>
        <w:overflowPunct/>
        <w:topLinePunct w:val="0"/>
        <w:bidi w:val="0"/>
        <w:spacing w:line="440" w:lineRule="exact"/>
        <w:outlineLvl w:val="9"/>
        <w:rPr>
          <w:rFonts w:ascii="宋体" w:hAnsi="宋体" w:cs="宋体"/>
          <w:sz w:val="24"/>
          <w:highlight w:val="none"/>
        </w:rPr>
      </w:pPr>
    </w:p>
    <w:p w14:paraId="577C6DD1">
      <w:pPr>
        <w:pageBreakBefore w:val="0"/>
        <w:kinsoku/>
        <w:overflowPunct/>
        <w:topLinePunct w:val="0"/>
        <w:bidi w:val="0"/>
        <w:spacing w:line="440" w:lineRule="exact"/>
        <w:jc w:val="right"/>
        <w:outlineLvl w:val="9"/>
        <w:rPr>
          <w:rFonts w:ascii="宋体" w:hAnsi="宋体" w:cs="宋体"/>
          <w:sz w:val="24"/>
          <w:highlight w:val="none"/>
        </w:rPr>
      </w:pPr>
      <w:r>
        <w:rPr>
          <w:rFonts w:hint="eastAsia" w:ascii="宋体" w:hAnsi="宋体" w:cs="宋体"/>
          <w:sz w:val="24"/>
          <w:highlight w:val="none"/>
        </w:rPr>
        <w:t>供应商：</w:t>
      </w:r>
      <w:r>
        <w:rPr>
          <w:rFonts w:hint="eastAsia" w:ascii="宋体" w:hAnsi="宋体" w:cs="宋体"/>
          <w:sz w:val="24"/>
          <w:highlight w:val="none"/>
          <w:u w:val="single"/>
        </w:rPr>
        <w:t xml:space="preserve">                   </w:t>
      </w:r>
      <w:r>
        <w:rPr>
          <w:rFonts w:hint="eastAsia" w:ascii="宋体" w:hAnsi="宋体" w:cs="宋体"/>
          <w:sz w:val="24"/>
          <w:highlight w:val="none"/>
        </w:rPr>
        <w:t>（盖单位公章）</w:t>
      </w:r>
    </w:p>
    <w:p w14:paraId="7258D9D4">
      <w:pPr>
        <w:pStyle w:val="38"/>
        <w:pageBreakBefore w:val="0"/>
        <w:kinsoku/>
        <w:overflowPunct/>
        <w:topLinePunct w:val="0"/>
        <w:bidi w:val="0"/>
        <w:outlineLvl w:val="9"/>
        <w:rPr>
          <w:rFonts w:hAnsi="宋体"/>
          <w:highlight w:val="none"/>
        </w:rPr>
      </w:pPr>
    </w:p>
    <w:p w14:paraId="196FBCF2">
      <w:pPr>
        <w:pStyle w:val="6"/>
        <w:pageBreakBefore w:val="0"/>
        <w:kinsoku/>
        <w:overflowPunct/>
        <w:topLinePunct w:val="0"/>
        <w:bidi w:val="0"/>
        <w:spacing w:line="480" w:lineRule="auto"/>
        <w:ind w:right="480" w:firstLine="480"/>
        <w:jc w:val="right"/>
        <w:outlineLvl w:val="9"/>
        <w:rPr>
          <w:rFonts w:hAnsi="宋体" w:eastAsia="宋体" w:cs="宋体"/>
          <w:kern w:val="2"/>
          <w:szCs w:val="22"/>
          <w:highlight w:val="none"/>
        </w:rPr>
      </w:pPr>
      <w:r>
        <w:rPr>
          <w:rFonts w:hint="eastAsia" w:hAnsi="宋体" w:eastAsia="宋体" w:cs="宋体"/>
          <w:highlight w:val="none"/>
        </w:rPr>
        <w:t xml:space="preserve">     </w:t>
      </w:r>
      <w:r>
        <w:rPr>
          <w:rFonts w:hint="eastAsia" w:hAnsi="宋体" w:eastAsia="宋体" w:cs="宋体"/>
          <w:highlight w:val="none"/>
          <w:u w:val="single"/>
        </w:rPr>
        <w:t xml:space="preserve"> </w:t>
      </w:r>
      <w:r>
        <w:rPr>
          <w:rFonts w:hint="eastAsia" w:hAnsi="宋体" w:eastAsia="宋体" w:cs="宋体"/>
          <w:kern w:val="2"/>
          <w:szCs w:val="22"/>
          <w:highlight w:val="none"/>
          <w:u w:val="single"/>
        </w:rPr>
        <w:t xml:space="preserve">    </w:t>
      </w:r>
      <w:r>
        <w:rPr>
          <w:rFonts w:hint="eastAsia" w:hAnsi="宋体" w:eastAsia="宋体" w:cs="宋体"/>
          <w:kern w:val="2"/>
          <w:szCs w:val="22"/>
          <w:highlight w:val="none"/>
        </w:rPr>
        <w:t>年</w:t>
      </w:r>
      <w:r>
        <w:rPr>
          <w:rFonts w:hint="eastAsia" w:hAnsi="宋体" w:eastAsia="宋体" w:cs="宋体"/>
          <w:kern w:val="2"/>
          <w:szCs w:val="22"/>
          <w:highlight w:val="none"/>
          <w:u w:val="single"/>
        </w:rPr>
        <w:t xml:space="preserve">     </w:t>
      </w:r>
      <w:r>
        <w:rPr>
          <w:rFonts w:hint="eastAsia" w:hAnsi="宋体" w:eastAsia="宋体" w:cs="宋体"/>
          <w:kern w:val="2"/>
          <w:szCs w:val="22"/>
          <w:highlight w:val="none"/>
        </w:rPr>
        <w:t>月</w:t>
      </w:r>
      <w:r>
        <w:rPr>
          <w:rFonts w:hint="eastAsia" w:hAnsi="宋体" w:eastAsia="宋体" w:cs="宋体"/>
          <w:kern w:val="2"/>
          <w:szCs w:val="22"/>
          <w:highlight w:val="none"/>
          <w:u w:val="single"/>
        </w:rPr>
        <w:t xml:space="preserve">     </w:t>
      </w:r>
      <w:r>
        <w:rPr>
          <w:rFonts w:hint="eastAsia" w:hAnsi="宋体" w:eastAsia="宋体" w:cs="宋体"/>
          <w:kern w:val="2"/>
          <w:szCs w:val="22"/>
          <w:highlight w:val="none"/>
        </w:rPr>
        <w:t>日</w:t>
      </w:r>
    </w:p>
    <w:p w14:paraId="6E054580">
      <w:pPr>
        <w:pageBreakBefore w:val="0"/>
        <w:kinsoku/>
        <w:overflowPunct/>
        <w:topLinePunct w:val="0"/>
        <w:bidi w:val="0"/>
        <w:spacing w:line="360" w:lineRule="auto"/>
        <w:ind w:firstLine="200"/>
        <w:outlineLvl w:val="9"/>
        <w:rPr>
          <w:rFonts w:hint="eastAsia" w:ascii="宋体" w:hAnsi="宋体" w:eastAsia="宋体" w:cs="宋体"/>
          <w:sz w:val="24"/>
          <w:szCs w:val="24"/>
          <w:highlight w:val="none"/>
        </w:rPr>
      </w:pPr>
    </w:p>
    <w:p w14:paraId="0A786E86">
      <w:pPr>
        <w:pageBreakBefore w:val="0"/>
        <w:kinsoku/>
        <w:overflowPunct/>
        <w:topLinePunct w:val="0"/>
        <w:bidi w:val="0"/>
        <w:spacing w:line="360" w:lineRule="auto"/>
        <w:ind w:firstLine="200"/>
        <w:outlineLvl w:val="9"/>
        <w:rPr>
          <w:rFonts w:hint="eastAsia" w:ascii="宋体" w:hAnsi="宋体" w:eastAsia="宋体" w:cs="宋体"/>
          <w:sz w:val="24"/>
          <w:szCs w:val="24"/>
          <w:highlight w:val="none"/>
        </w:rPr>
      </w:pPr>
    </w:p>
    <w:p w14:paraId="57110146">
      <w:pPr>
        <w:pageBreakBefore w:val="0"/>
        <w:kinsoku/>
        <w:overflowPunct/>
        <w:topLinePunct w:val="0"/>
        <w:bidi w:val="0"/>
        <w:spacing w:line="360" w:lineRule="auto"/>
        <w:ind w:firstLine="200"/>
        <w:outlineLvl w:val="9"/>
        <w:rPr>
          <w:rFonts w:hint="eastAsia" w:ascii="宋体" w:hAnsi="宋体" w:eastAsia="宋体" w:cs="宋体"/>
          <w:sz w:val="24"/>
          <w:szCs w:val="24"/>
          <w:highlight w:val="none"/>
        </w:rPr>
      </w:pPr>
    </w:p>
    <w:p w14:paraId="6B3D5ED0">
      <w:pPr>
        <w:pageBreakBefore w:val="0"/>
        <w:kinsoku/>
        <w:overflowPunct/>
        <w:topLinePunct w:val="0"/>
        <w:bidi w:val="0"/>
        <w:spacing w:line="360" w:lineRule="auto"/>
        <w:ind w:firstLine="200"/>
        <w:outlineLvl w:val="9"/>
        <w:rPr>
          <w:rFonts w:hint="eastAsia" w:ascii="宋体" w:hAnsi="宋体" w:eastAsia="宋体" w:cs="宋体"/>
          <w:sz w:val="24"/>
          <w:szCs w:val="24"/>
          <w:highlight w:val="none"/>
        </w:rPr>
      </w:pPr>
    </w:p>
    <w:p w14:paraId="41C28581">
      <w:pPr>
        <w:pageBreakBefore w:val="0"/>
        <w:kinsoku/>
        <w:overflowPunct/>
        <w:topLinePunct w:val="0"/>
        <w:bidi w:val="0"/>
        <w:spacing w:line="360" w:lineRule="auto"/>
        <w:ind w:firstLine="200"/>
        <w:outlineLvl w:val="9"/>
        <w:rPr>
          <w:rFonts w:hint="eastAsia" w:ascii="宋体" w:hAnsi="宋体" w:eastAsia="宋体" w:cs="宋体"/>
          <w:sz w:val="24"/>
          <w:szCs w:val="24"/>
          <w:highlight w:val="none"/>
        </w:rPr>
      </w:pPr>
    </w:p>
    <w:p w14:paraId="67FBB934">
      <w:pPr>
        <w:pageBreakBefore w:val="0"/>
        <w:kinsoku/>
        <w:overflowPunct/>
        <w:topLinePunct w:val="0"/>
        <w:bidi w:val="0"/>
        <w:spacing w:line="360" w:lineRule="auto"/>
        <w:ind w:firstLine="200"/>
        <w:outlineLvl w:val="9"/>
        <w:rPr>
          <w:rFonts w:hint="eastAsia" w:ascii="宋体" w:hAnsi="宋体" w:eastAsia="宋体" w:cs="宋体"/>
          <w:sz w:val="24"/>
          <w:szCs w:val="24"/>
          <w:highlight w:val="none"/>
        </w:rPr>
      </w:pPr>
    </w:p>
    <w:p w14:paraId="239473EB">
      <w:pPr>
        <w:pageBreakBefore w:val="0"/>
        <w:kinsoku/>
        <w:overflowPunct/>
        <w:topLinePunct w:val="0"/>
        <w:bidi w:val="0"/>
        <w:spacing w:line="360" w:lineRule="auto"/>
        <w:ind w:firstLine="200"/>
        <w:outlineLvl w:val="9"/>
        <w:rPr>
          <w:rFonts w:hint="eastAsia" w:ascii="宋体" w:hAnsi="宋体" w:eastAsia="宋体" w:cs="宋体"/>
          <w:sz w:val="24"/>
          <w:szCs w:val="24"/>
          <w:highlight w:val="none"/>
        </w:rPr>
      </w:pPr>
    </w:p>
    <w:p w14:paraId="61DDEF1E">
      <w:pPr>
        <w:pageBreakBefore w:val="0"/>
        <w:widowControl/>
        <w:kinsoku/>
        <w:overflowPunct/>
        <w:topLinePunct w:val="0"/>
        <w:bidi w:val="0"/>
        <w:jc w:val="left"/>
        <w:outlineLvl w:val="9"/>
        <w:rPr>
          <w:rFonts w:hint="eastAsia" w:ascii="宋体" w:hAnsi="宋体" w:eastAsia="宋体" w:cs="宋体"/>
          <w:b/>
          <w:bCs/>
          <w:kern w:val="44"/>
          <w:sz w:val="24"/>
          <w:szCs w:val="24"/>
          <w:highlight w:val="none"/>
        </w:rPr>
      </w:pPr>
      <w:r>
        <w:rPr>
          <w:rFonts w:hint="eastAsia" w:ascii="宋体" w:hAnsi="宋体" w:eastAsia="宋体" w:cs="宋体"/>
          <w:b/>
          <w:bCs/>
          <w:kern w:val="44"/>
          <w:sz w:val="24"/>
          <w:szCs w:val="24"/>
          <w:highlight w:val="none"/>
        </w:rPr>
        <w:br w:type="page"/>
      </w:r>
    </w:p>
    <w:p w14:paraId="281B05F0">
      <w:pPr>
        <w:keepNext w:val="0"/>
        <w:keepLines w:val="0"/>
        <w:pageBreakBefore w:val="0"/>
        <w:widowControl w:val="0"/>
        <w:kinsoku/>
        <w:wordWrap/>
        <w:overflowPunct/>
        <w:topLinePunct w:val="0"/>
        <w:autoSpaceDE/>
        <w:autoSpaceDN/>
        <w:bidi w:val="0"/>
        <w:adjustRightInd/>
        <w:snapToGrid/>
        <w:spacing w:line="360" w:lineRule="auto"/>
        <w:ind w:firstLine="198"/>
        <w:jc w:val="center"/>
        <w:textAlignment w:val="auto"/>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（二）授权委托书</w:t>
      </w:r>
    </w:p>
    <w:p w14:paraId="08574C6E">
      <w:pPr>
        <w:pageBreakBefore w:val="0"/>
        <w:kinsoku/>
        <w:overflowPunct/>
        <w:topLinePunct w:val="0"/>
        <w:bidi w:val="0"/>
        <w:spacing w:line="360" w:lineRule="auto"/>
        <w:ind w:firstLine="200"/>
        <w:outlineLvl w:val="9"/>
        <w:rPr>
          <w:rFonts w:hint="eastAsia" w:ascii="宋体" w:hAnsi="宋体" w:eastAsia="宋体" w:cs="宋体"/>
          <w:sz w:val="24"/>
          <w:szCs w:val="24"/>
          <w:highlight w:val="none"/>
        </w:rPr>
      </w:pPr>
    </w:p>
    <w:p w14:paraId="4AF64971">
      <w:pPr>
        <w:pageBreakBefore w:val="0"/>
        <w:kinsoku/>
        <w:overflowPunct/>
        <w:topLinePunct w:val="0"/>
        <w:bidi w:val="0"/>
        <w:spacing w:line="500" w:lineRule="exact"/>
        <w:ind w:left="141" w:leftChars="67" w:firstLine="523" w:firstLineChars="218"/>
        <w:outlineLvl w:val="9"/>
        <w:rPr>
          <w:rFonts w:ascii="宋体" w:hAnsi="宋体" w:cs="宋体"/>
          <w:bCs/>
          <w:sz w:val="24"/>
          <w:highlight w:val="none"/>
        </w:rPr>
      </w:pPr>
      <w:r>
        <w:rPr>
          <w:rFonts w:hint="eastAsia" w:ascii="宋体" w:hAnsi="宋体" w:cs="宋体"/>
          <w:bCs/>
          <w:sz w:val="24"/>
          <w:highlight w:val="none"/>
        </w:rPr>
        <w:t>本人</w:t>
      </w:r>
      <w:r>
        <w:rPr>
          <w:rFonts w:hint="eastAsia" w:ascii="宋体" w:hAnsi="宋体" w:cs="宋体"/>
          <w:bCs/>
          <w:sz w:val="24"/>
          <w:highlight w:val="none"/>
          <w:u w:val="single"/>
        </w:rPr>
        <w:t xml:space="preserve">         </w:t>
      </w:r>
      <w:r>
        <w:rPr>
          <w:rFonts w:hint="eastAsia" w:ascii="宋体" w:hAnsi="宋体" w:cs="宋体"/>
          <w:bCs/>
          <w:sz w:val="24"/>
          <w:highlight w:val="none"/>
        </w:rPr>
        <w:t>（姓名）系</w:t>
      </w:r>
      <w:r>
        <w:rPr>
          <w:rFonts w:hint="eastAsia" w:ascii="宋体" w:hAnsi="宋体" w:cs="宋体"/>
          <w:bCs/>
          <w:sz w:val="24"/>
          <w:highlight w:val="none"/>
          <w:u w:val="single"/>
        </w:rPr>
        <w:t xml:space="preserve">                </w:t>
      </w:r>
      <w:r>
        <w:rPr>
          <w:rFonts w:hint="eastAsia" w:ascii="宋体" w:hAnsi="宋体" w:cs="宋体"/>
          <w:bCs/>
          <w:sz w:val="24"/>
          <w:highlight w:val="none"/>
        </w:rPr>
        <w:t>（供应商名称）的法定代表人，现委托</w:t>
      </w:r>
      <w:r>
        <w:rPr>
          <w:rFonts w:hint="eastAsia" w:ascii="宋体" w:hAnsi="宋体" w:cs="宋体"/>
          <w:bCs/>
          <w:sz w:val="24"/>
          <w:highlight w:val="none"/>
          <w:u w:val="single"/>
        </w:rPr>
        <w:t xml:space="preserve">         </w:t>
      </w:r>
      <w:r>
        <w:rPr>
          <w:rFonts w:hint="eastAsia" w:ascii="宋体" w:hAnsi="宋体" w:cs="宋体"/>
          <w:bCs/>
          <w:sz w:val="24"/>
          <w:highlight w:val="none"/>
        </w:rPr>
        <w:t>（姓名）为我方代理人。代理人根据授权，以我方名义签署、澄清、说明、补正、递交、撤回、修改</w:t>
      </w:r>
      <w:r>
        <w:rPr>
          <w:rFonts w:hint="eastAsia" w:ascii="宋体" w:hAnsi="宋体" w:cs="宋体"/>
          <w:bCs/>
          <w:sz w:val="24"/>
          <w:highlight w:val="none"/>
          <w:u w:val="single"/>
        </w:rPr>
        <w:t xml:space="preserve">                  </w:t>
      </w:r>
      <w:r>
        <w:rPr>
          <w:rFonts w:hint="eastAsia" w:ascii="宋体" w:hAnsi="宋体" w:cs="宋体"/>
          <w:bCs/>
          <w:sz w:val="24"/>
          <w:highlight w:val="none"/>
        </w:rPr>
        <w:t>（项目名称）响应文件、签订合同和处理有关事宜，其法律后果由我方承担。</w:t>
      </w:r>
    </w:p>
    <w:p w14:paraId="7B4574EC">
      <w:pPr>
        <w:pageBreakBefore w:val="0"/>
        <w:kinsoku/>
        <w:overflowPunct/>
        <w:topLinePunct w:val="0"/>
        <w:bidi w:val="0"/>
        <w:spacing w:line="500" w:lineRule="exact"/>
        <w:ind w:left="567"/>
        <w:outlineLvl w:val="9"/>
        <w:rPr>
          <w:rFonts w:ascii="宋体" w:hAnsi="宋体" w:cs="宋体"/>
          <w:bCs/>
          <w:sz w:val="24"/>
          <w:highlight w:val="none"/>
        </w:rPr>
      </w:pPr>
      <w:r>
        <w:rPr>
          <w:rFonts w:hint="eastAsia" w:ascii="宋体" w:hAnsi="宋体" w:cs="宋体"/>
          <w:bCs/>
          <w:sz w:val="24"/>
          <w:highlight w:val="none"/>
        </w:rPr>
        <w:t>委托期限：</w:t>
      </w:r>
      <w:r>
        <w:rPr>
          <w:rFonts w:hint="eastAsia" w:ascii="宋体" w:hAnsi="宋体" w:cs="宋体"/>
          <w:bCs/>
          <w:sz w:val="24"/>
          <w:highlight w:val="none"/>
          <w:u w:val="single"/>
        </w:rPr>
        <w:t xml:space="preserve">                  </w:t>
      </w:r>
      <w:r>
        <w:rPr>
          <w:rFonts w:hint="eastAsia" w:ascii="宋体" w:hAnsi="宋体" w:cs="宋体"/>
          <w:bCs/>
          <w:sz w:val="24"/>
          <w:highlight w:val="none"/>
        </w:rPr>
        <w:t>。</w:t>
      </w:r>
    </w:p>
    <w:p w14:paraId="014A6AED">
      <w:pPr>
        <w:pageBreakBefore w:val="0"/>
        <w:kinsoku/>
        <w:overflowPunct/>
        <w:topLinePunct w:val="0"/>
        <w:bidi w:val="0"/>
        <w:spacing w:line="500" w:lineRule="exact"/>
        <w:ind w:left="567"/>
        <w:outlineLvl w:val="9"/>
        <w:rPr>
          <w:rFonts w:ascii="宋体" w:hAnsi="宋体" w:cs="宋体"/>
          <w:bCs/>
          <w:sz w:val="24"/>
          <w:highlight w:val="none"/>
        </w:rPr>
      </w:pPr>
      <w:r>
        <w:rPr>
          <w:rFonts w:hint="eastAsia" w:ascii="宋体" w:hAnsi="宋体" w:cs="宋体"/>
          <w:bCs/>
          <w:sz w:val="24"/>
          <w:highlight w:val="none"/>
        </w:rPr>
        <w:t xml:space="preserve">代理人无转委托权。 </w:t>
      </w:r>
    </w:p>
    <w:p w14:paraId="27C2F8AD">
      <w:pPr>
        <w:pageBreakBefore w:val="0"/>
        <w:kinsoku/>
        <w:overflowPunct/>
        <w:topLinePunct w:val="0"/>
        <w:bidi w:val="0"/>
        <w:spacing w:line="500" w:lineRule="exact"/>
        <w:ind w:firstLine="648" w:firstLineChars="270"/>
        <w:outlineLvl w:val="9"/>
        <w:rPr>
          <w:rFonts w:ascii="宋体" w:hAnsi="宋体" w:cs="宋体"/>
          <w:bCs/>
          <w:sz w:val="24"/>
          <w:highlight w:val="none"/>
        </w:rPr>
      </w:pPr>
    </w:p>
    <w:p w14:paraId="4CFA4D55">
      <w:pPr>
        <w:pageBreakBefore w:val="0"/>
        <w:kinsoku/>
        <w:overflowPunct/>
        <w:topLinePunct w:val="0"/>
        <w:bidi w:val="0"/>
        <w:spacing w:line="500" w:lineRule="exact"/>
        <w:ind w:left="567"/>
        <w:outlineLvl w:val="9"/>
        <w:rPr>
          <w:rFonts w:ascii="宋体" w:hAnsi="宋体" w:cs="宋体"/>
          <w:bCs/>
          <w:sz w:val="24"/>
          <w:highlight w:val="none"/>
        </w:rPr>
      </w:pPr>
      <w:r>
        <w:rPr>
          <w:rFonts w:hint="eastAsia" w:ascii="宋体" w:hAnsi="宋体" w:cs="宋体"/>
          <w:bCs/>
          <w:sz w:val="24"/>
          <w:highlight w:val="none"/>
        </w:rPr>
        <w:t>附：委托代理人身份证复印件</w:t>
      </w:r>
    </w:p>
    <w:p w14:paraId="66C189BA">
      <w:pPr>
        <w:pageBreakBefore w:val="0"/>
        <w:kinsoku/>
        <w:overflowPunct/>
        <w:topLinePunct w:val="0"/>
        <w:bidi w:val="0"/>
        <w:spacing w:line="440" w:lineRule="exact"/>
        <w:ind w:left="840"/>
        <w:outlineLvl w:val="9"/>
        <w:rPr>
          <w:rFonts w:ascii="宋体" w:hAnsi="宋体" w:cs="宋体"/>
          <w:bCs/>
          <w:sz w:val="24"/>
          <w:highlight w:val="none"/>
        </w:rPr>
      </w:pPr>
    </w:p>
    <w:p w14:paraId="0DA002E7">
      <w:pPr>
        <w:pageBreakBefore w:val="0"/>
        <w:kinsoku/>
        <w:overflowPunct/>
        <w:topLinePunct w:val="0"/>
        <w:bidi w:val="0"/>
        <w:spacing w:line="440" w:lineRule="exact"/>
        <w:ind w:left="840"/>
        <w:outlineLvl w:val="9"/>
        <w:rPr>
          <w:rFonts w:ascii="宋体" w:hAnsi="宋体" w:cs="宋体"/>
          <w:bCs/>
          <w:sz w:val="24"/>
          <w:highlight w:val="none"/>
        </w:rPr>
      </w:pPr>
    </w:p>
    <w:p w14:paraId="5E3CD44C">
      <w:pPr>
        <w:pageBreakBefore w:val="0"/>
        <w:kinsoku/>
        <w:overflowPunct/>
        <w:topLinePunct w:val="0"/>
        <w:bidi w:val="0"/>
        <w:spacing w:line="440" w:lineRule="exact"/>
        <w:ind w:left="840"/>
        <w:outlineLvl w:val="9"/>
        <w:rPr>
          <w:rFonts w:ascii="宋体" w:hAnsi="宋体" w:cs="宋体"/>
          <w:bCs/>
          <w:sz w:val="24"/>
          <w:highlight w:val="none"/>
        </w:rPr>
      </w:pPr>
    </w:p>
    <w:p w14:paraId="65F5B27F">
      <w:pPr>
        <w:pageBreakBefore w:val="0"/>
        <w:kinsoku/>
        <w:overflowPunct/>
        <w:topLinePunct w:val="0"/>
        <w:bidi w:val="0"/>
        <w:spacing w:line="440" w:lineRule="exact"/>
        <w:jc w:val="center"/>
        <w:outlineLvl w:val="9"/>
        <w:rPr>
          <w:rFonts w:ascii="宋体" w:hAnsi="宋体" w:cs="宋体"/>
          <w:bCs/>
          <w:sz w:val="24"/>
          <w:highlight w:val="none"/>
        </w:rPr>
      </w:pPr>
      <w:r>
        <w:rPr>
          <w:rFonts w:hint="eastAsia" w:ascii="宋体" w:hAnsi="宋体" w:cs="宋体"/>
          <w:bCs/>
          <w:sz w:val="24"/>
          <w:highlight w:val="none"/>
        </w:rPr>
        <w:t xml:space="preserve">                                  供应商：</w:t>
      </w:r>
      <w:r>
        <w:rPr>
          <w:rFonts w:hint="eastAsia" w:ascii="宋体" w:hAnsi="宋体" w:cs="宋体"/>
          <w:bCs/>
          <w:sz w:val="24"/>
          <w:highlight w:val="none"/>
          <w:u w:val="single"/>
        </w:rPr>
        <w:t xml:space="preserve">                </w:t>
      </w:r>
      <w:r>
        <w:rPr>
          <w:rFonts w:hint="eastAsia" w:ascii="宋体" w:hAnsi="宋体" w:cs="宋体"/>
          <w:bCs/>
          <w:sz w:val="24"/>
          <w:highlight w:val="none"/>
        </w:rPr>
        <w:t>（盖单位公章）</w:t>
      </w:r>
    </w:p>
    <w:p w14:paraId="16915E7A">
      <w:pPr>
        <w:pageBreakBefore w:val="0"/>
        <w:kinsoku/>
        <w:overflowPunct/>
        <w:topLinePunct w:val="0"/>
        <w:bidi w:val="0"/>
        <w:spacing w:line="440" w:lineRule="exact"/>
        <w:ind w:left="3570"/>
        <w:jc w:val="right"/>
        <w:outlineLvl w:val="9"/>
        <w:rPr>
          <w:rFonts w:ascii="宋体" w:hAnsi="宋体" w:cs="宋体"/>
          <w:bCs/>
          <w:sz w:val="24"/>
          <w:highlight w:val="none"/>
        </w:rPr>
      </w:pPr>
      <w:r>
        <w:rPr>
          <w:rFonts w:hint="eastAsia" w:ascii="宋体" w:hAnsi="宋体" w:cs="宋体"/>
          <w:bCs/>
          <w:sz w:val="24"/>
          <w:highlight w:val="none"/>
        </w:rPr>
        <w:t xml:space="preserve"> </w:t>
      </w:r>
    </w:p>
    <w:p w14:paraId="5881EE41">
      <w:pPr>
        <w:pageBreakBefore w:val="0"/>
        <w:kinsoku/>
        <w:overflowPunct/>
        <w:topLinePunct w:val="0"/>
        <w:bidi w:val="0"/>
        <w:spacing w:line="440" w:lineRule="exact"/>
        <w:jc w:val="center"/>
        <w:outlineLvl w:val="9"/>
        <w:rPr>
          <w:rFonts w:ascii="宋体" w:hAnsi="宋体" w:cs="宋体"/>
          <w:bCs/>
          <w:sz w:val="24"/>
          <w:highlight w:val="none"/>
        </w:rPr>
      </w:pPr>
      <w:r>
        <w:rPr>
          <w:rFonts w:hint="eastAsia" w:ascii="宋体" w:hAnsi="宋体" w:cs="宋体"/>
          <w:bCs/>
          <w:sz w:val="24"/>
          <w:highlight w:val="none"/>
        </w:rPr>
        <w:t xml:space="preserve">                                  </w:t>
      </w:r>
      <w:r>
        <w:rPr>
          <w:rFonts w:hint="eastAsia" w:ascii="宋体" w:hAnsi="宋体" w:cs="宋体"/>
          <w:bCs/>
          <w:sz w:val="24"/>
          <w:highlight w:val="none"/>
          <w:lang w:eastAsia="zh-CN"/>
        </w:rPr>
        <w:t>法定</w:t>
      </w:r>
      <w:r>
        <w:rPr>
          <w:rFonts w:hint="eastAsia" w:ascii="宋体" w:hAnsi="宋体" w:cs="宋体"/>
          <w:bCs/>
          <w:sz w:val="24"/>
          <w:highlight w:val="none"/>
        </w:rPr>
        <w:t>代表人：</w:t>
      </w:r>
      <w:r>
        <w:rPr>
          <w:rFonts w:hint="eastAsia" w:ascii="宋体" w:hAnsi="宋体" w:cs="宋体"/>
          <w:bCs/>
          <w:sz w:val="24"/>
          <w:highlight w:val="none"/>
          <w:u w:val="single"/>
        </w:rPr>
        <w:t xml:space="preserve">              </w:t>
      </w:r>
      <w:r>
        <w:rPr>
          <w:rFonts w:hint="eastAsia" w:ascii="宋体" w:hAnsi="宋体" w:cs="宋体"/>
          <w:color w:val="000000"/>
          <w:sz w:val="24"/>
          <w:highlight w:val="none"/>
          <w:lang w:bidi="ar"/>
        </w:rPr>
        <w:t>（</w:t>
      </w:r>
      <w:r>
        <w:rPr>
          <w:rFonts w:hint="eastAsia" w:ascii="宋体" w:hAnsi="宋体" w:cs="宋体"/>
          <w:sz w:val="24"/>
          <w:highlight w:val="none"/>
        </w:rPr>
        <w:t>电子签章</w:t>
      </w:r>
      <w:r>
        <w:rPr>
          <w:rFonts w:hint="eastAsia" w:ascii="宋体" w:hAnsi="宋体" w:cs="宋体"/>
          <w:color w:val="000000"/>
          <w:sz w:val="24"/>
          <w:highlight w:val="none"/>
          <w:lang w:bidi="ar"/>
        </w:rPr>
        <w:t>）</w:t>
      </w:r>
    </w:p>
    <w:p w14:paraId="2B3FDB1E">
      <w:pPr>
        <w:pageBreakBefore w:val="0"/>
        <w:kinsoku/>
        <w:overflowPunct/>
        <w:topLinePunct w:val="0"/>
        <w:bidi w:val="0"/>
        <w:spacing w:line="440" w:lineRule="exact"/>
        <w:ind w:left="3570"/>
        <w:jc w:val="right"/>
        <w:outlineLvl w:val="9"/>
        <w:rPr>
          <w:rFonts w:ascii="宋体" w:hAnsi="宋体" w:cs="宋体"/>
          <w:bCs/>
          <w:sz w:val="24"/>
          <w:highlight w:val="none"/>
        </w:rPr>
      </w:pPr>
      <w:r>
        <w:rPr>
          <w:rFonts w:hint="eastAsia" w:ascii="宋体" w:hAnsi="宋体" w:cs="宋体"/>
          <w:bCs/>
          <w:sz w:val="24"/>
          <w:highlight w:val="none"/>
        </w:rPr>
        <w:t xml:space="preserve"> </w:t>
      </w:r>
    </w:p>
    <w:p w14:paraId="6D630B0A">
      <w:pPr>
        <w:pageBreakBefore w:val="0"/>
        <w:kinsoku/>
        <w:overflowPunct/>
        <w:topLinePunct w:val="0"/>
        <w:bidi w:val="0"/>
        <w:spacing w:line="440" w:lineRule="exact"/>
        <w:jc w:val="center"/>
        <w:outlineLvl w:val="9"/>
        <w:rPr>
          <w:rFonts w:ascii="宋体" w:hAnsi="宋体" w:cs="宋体"/>
          <w:bCs/>
          <w:sz w:val="24"/>
          <w:highlight w:val="none"/>
        </w:rPr>
      </w:pPr>
      <w:r>
        <w:rPr>
          <w:rFonts w:hint="eastAsia" w:ascii="宋体" w:hAnsi="宋体" w:cs="宋体"/>
          <w:bCs/>
          <w:sz w:val="24"/>
          <w:highlight w:val="none"/>
        </w:rPr>
        <w:t xml:space="preserve">      </w:t>
      </w:r>
      <w:r>
        <w:rPr>
          <w:rFonts w:hint="eastAsia" w:ascii="宋体" w:hAnsi="宋体" w:cs="宋体"/>
          <w:bCs/>
          <w:sz w:val="24"/>
          <w:highlight w:val="none"/>
          <w:lang w:val="en-US" w:eastAsia="zh-CN"/>
        </w:rPr>
        <w:t xml:space="preserve">    </w:t>
      </w:r>
      <w:r>
        <w:rPr>
          <w:rFonts w:hint="eastAsia" w:ascii="宋体" w:hAnsi="宋体" w:cs="宋体"/>
          <w:bCs/>
          <w:sz w:val="24"/>
          <w:highlight w:val="none"/>
        </w:rPr>
        <w:t>身份证号码：</w:t>
      </w:r>
      <w:r>
        <w:rPr>
          <w:rFonts w:hint="eastAsia" w:ascii="宋体" w:hAnsi="宋体" w:cs="宋体"/>
          <w:bCs/>
          <w:sz w:val="24"/>
          <w:highlight w:val="none"/>
          <w:u w:val="single"/>
        </w:rPr>
        <w:t xml:space="preserve">                        </w:t>
      </w:r>
    </w:p>
    <w:p w14:paraId="0ADF48E6">
      <w:pPr>
        <w:pageBreakBefore w:val="0"/>
        <w:kinsoku/>
        <w:overflowPunct/>
        <w:topLinePunct w:val="0"/>
        <w:bidi w:val="0"/>
        <w:spacing w:line="440" w:lineRule="exact"/>
        <w:ind w:left="3570"/>
        <w:jc w:val="center"/>
        <w:outlineLvl w:val="9"/>
        <w:rPr>
          <w:rFonts w:ascii="宋体" w:hAnsi="宋体" w:cs="宋体"/>
          <w:bCs/>
          <w:sz w:val="24"/>
          <w:highlight w:val="none"/>
        </w:rPr>
      </w:pPr>
      <w:r>
        <w:rPr>
          <w:rFonts w:hint="eastAsia" w:ascii="宋体" w:hAnsi="宋体" w:cs="宋体"/>
          <w:bCs/>
          <w:sz w:val="24"/>
          <w:highlight w:val="none"/>
        </w:rPr>
        <w:t xml:space="preserve"> </w:t>
      </w:r>
    </w:p>
    <w:p w14:paraId="1C56535F">
      <w:pPr>
        <w:pageBreakBefore w:val="0"/>
        <w:kinsoku/>
        <w:overflowPunct/>
        <w:topLinePunct w:val="0"/>
        <w:bidi w:val="0"/>
        <w:spacing w:line="440" w:lineRule="exact"/>
        <w:jc w:val="center"/>
        <w:outlineLvl w:val="9"/>
        <w:rPr>
          <w:rFonts w:ascii="宋体" w:hAnsi="宋体" w:cs="宋体"/>
          <w:bCs/>
          <w:sz w:val="24"/>
          <w:highlight w:val="none"/>
        </w:rPr>
      </w:pPr>
      <w:r>
        <w:rPr>
          <w:rFonts w:hint="eastAsia" w:ascii="宋体" w:hAnsi="宋体" w:cs="宋体"/>
          <w:bCs/>
          <w:sz w:val="24"/>
          <w:highlight w:val="none"/>
        </w:rPr>
        <w:t xml:space="preserve">                               </w:t>
      </w:r>
      <w:r>
        <w:rPr>
          <w:rFonts w:hint="eastAsia" w:ascii="宋体" w:hAnsi="宋体" w:cs="宋体"/>
          <w:bCs/>
          <w:sz w:val="24"/>
          <w:highlight w:val="none"/>
          <w:lang w:val="en-US" w:eastAsia="zh-CN"/>
        </w:rPr>
        <w:t xml:space="preserve">   </w:t>
      </w:r>
      <w:r>
        <w:rPr>
          <w:rFonts w:hint="eastAsia" w:ascii="宋体" w:hAnsi="宋体" w:cs="宋体"/>
          <w:bCs/>
          <w:sz w:val="24"/>
          <w:highlight w:val="none"/>
        </w:rPr>
        <w:t>委托代理人：</w:t>
      </w:r>
      <w:r>
        <w:rPr>
          <w:rFonts w:hint="eastAsia" w:ascii="宋体" w:hAnsi="宋体" w:cs="宋体"/>
          <w:bCs/>
          <w:sz w:val="24"/>
          <w:highlight w:val="none"/>
          <w:u w:val="single"/>
        </w:rPr>
        <w:t xml:space="preserve">               </w:t>
      </w:r>
      <w:r>
        <w:rPr>
          <w:rFonts w:hint="eastAsia" w:ascii="宋体" w:hAnsi="宋体" w:cs="宋体"/>
          <w:bCs/>
          <w:sz w:val="24"/>
          <w:highlight w:val="none"/>
        </w:rPr>
        <w:t>（</w:t>
      </w:r>
      <w:r>
        <w:rPr>
          <w:rFonts w:hint="eastAsia" w:ascii="宋体" w:hAnsi="宋体" w:cs="宋体"/>
          <w:color w:val="auto"/>
          <w:sz w:val="24"/>
          <w:highlight w:val="none"/>
        </w:rPr>
        <w:t>签字或法定代表人电子签章</w:t>
      </w:r>
      <w:r>
        <w:rPr>
          <w:rFonts w:hint="eastAsia" w:ascii="宋体" w:hAnsi="宋体" w:cs="宋体"/>
          <w:bCs/>
          <w:sz w:val="24"/>
          <w:highlight w:val="none"/>
        </w:rPr>
        <w:t>）</w:t>
      </w:r>
    </w:p>
    <w:p w14:paraId="2271621A">
      <w:pPr>
        <w:pageBreakBefore w:val="0"/>
        <w:kinsoku/>
        <w:overflowPunct/>
        <w:topLinePunct w:val="0"/>
        <w:bidi w:val="0"/>
        <w:spacing w:line="440" w:lineRule="exact"/>
        <w:ind w:left="3570"/>
        <w:jc w:val="right"/>
        <w:outlineLvl w:val="9"/>
        <w:rPr>
          <w:rFonts w:ascii="宋体" w:hAnsi="宋体" w:cs="宋体"/>
          <w:bCs/>
          <w:sz w:val="24"/>
          <w:highlight w:val="none"/>
        </w:rPr>
      </w:pPr>
      <w:r>
        <w:rPr>
          <w:rFonts w:hint="eastAsia" w:ascii="宋体" w:hAnsi="宋体" w:cs="宋体"/>
          <w:bCs/>
          <w:sz w:val="24"/>
          <w:highlight w:val="none"/>
        </w:rPr>
        <w:t xml:space="preserve"> </w:t>
      </w:r>
    </w:p>
    <w:p w14:paraId="245F6096">
      <w:pPr>
        <w:pageBreakBefore w:val="0"/>
        <w:tabs>
          <w:tab w:val="left" w:pos="6510"/>
        </w:tabs>
        <w:kinsoku/>
        <w:overflowPunct/>
        <w:topLinePunct w:val="0"/>
        <w:bidi w:val="0"/>
        <w:spacing w:line="440" w:lineRule="exact"/>
        <w:jc w:val="center"/>
        <w:outlineLvl w:val="9"/>
        <w:rPr>
          <w:rFonts w:ascii="宋体" w:hAnsi="宋体" w:cs="宋体"/>
          <w:bCs/>
          <w:sz w:val="24"/>
          <w:highlight w:val="none"/>
        </w:rPr>
      </w:pPr>
      <w:r>
        <w:rPr>
          <w:rFonts w:hint="eastAsia" w:ascii="宋体" w:hAnsi="宋体" w:cs="宋体"/>
          <w:bCs/>
          <w:sz w:val="24"/>
          <w:highlight w:val="none"/>
        </w:rPr>
        <w:t xml:space="preserve">      </w:t>
      </w:r>
      <w:r>
        <w:rPr>
          <w:rFonts w:hint="eastAsia" w:ascii="宋体" w:hAnsi="宋体" w:cs="宋体"/>
          <w:bCs/>
          <w:sz w:val="24"/>
          <w:highlight w:val="none"/>
          <w:lang w:val="en-US" w:eastAsia="zh-CN"/>
        </w:rPr>
        <w:t xml:space="preserve">      </w:t>
      </w:r>
      <w:r>
        <w:rPr>
          <w:rFonts w:hint="eastAsia" w:ascii="宋体" w:hAnsi="宋体" w:cs="宋体"/>
          <w:bCs/>
          <w:sz w:val="24"/>
          <w:highlight w:val="none"/>
        </w:rPr>
        <w:t>身份证号码：</w:t>
      </w:r>
      <w:r>
        <w:rPr>
          <w:rFonts w:hint="eastAsia" w:ascii="宋体" w:hAnsi="宋体" w:cs="宋体"/>
          <w:bCs/>
          <w:sz w:val="24"/>
          <w:highlight w:val="none"/>
          <w:u w:val="single"/>
        </w:rPr>
        <w:t xml:space="preserve">                         </w:t>
      </w:r>
      <w:r>
        <w:rPr>
          <w:rFonts w:hint="eastAsia" w:ascii="宋体" w:hAnsi="宋体" w:cs="宋体"/>
          <w:bCs/>
          <w:sz w:val="24"/>
          <w:highlight w:val="none"/>
        </w:rPr>
        <w:t xml:space="preserve"> </w:t>
      </w:r>
    </w:p>
    <w:p w14:paraId="035B9E3C">
      <w:pPr>
        <w:pStyle w:val="38"/>
        <w:pageBreakBefore w:val="0"/>
        <w:kinsoku/>
        <w:overflowPunct/>
        <w:topLinePunct w:val="0"/>
        <w:bidi w:val="0"/>
        <w:outlineLvl w:val="9"/>
        <w:rPr>
          <w:rFonts w:hAnsi="宋体"/>
          <w:highlight w:val="none"/>
        </w:rPr>
      </w:pPr>
    </w:p>
    <w:p w14:paraId="7F9C9D65">
      <w:pPr>
        <w:pageBreakBefore w:val="0"/>
        <w:tabs>
          <w:tab w:val="left" w:pos="6510"/>
        </w:tabs>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bCs/>
          <w:sz w:val="24"/>
          <w:highlight w:val="none"/>
        </w:rPr>
        <w:t xml:space="preserve">                               </w:t>
      </w:r>
      <w:r>
        <w:rPr>
          <w:rFonts w:hint="eastAsia" w:ascii="宋体" w:hAnsi="宋体" w:cs="宋体"/>
          <w:bCs/>
          <w:sz w:val="24"/>
          <w:highlight w:val="none"/>
          <w:u w:val="single"/>
        </w:rPr>
        <w:t xml:space="preserve">      </w:t>
      </w:r>
      <w:r>
        <w:rPr>
          <w:rFonts w:hint="eastAsia" w:ascii="宋体" w:hAnsi="宋体" w:cs="宋体"/>
          <w:bCs/>
          <w:sz w:val="24"/>
          <w:highlight w:val="none"/>
        </w:rPr>
        <w:t>年</w:t>
      </w:r>
      <w:r>
        <w:rPr>
          <w:rFonts w:hint="eastAsia" w:ascii="宋体" w:hAnsi="宋体" w:cs="宋体"/>
          <w:bCs/>
          <w:sz w:val="24"/>
          <w:highlight w:val="none"/>
          <w:u w:val="single"/>
        </w:rPr>
        <w:t xml:space="preserve">      </w:t>
      </w:r>
      <w:r>
        <w:rPr>
          <w:rFonts w:hint="eastAsia" w:ascii="宋体" w:hAnsi="宋体" w:cs="宋体"/>
          <w:bCs/>
          <w:sz w:val="24"/>
          <w:highlight w:val="none"/>
        </w:rPr>
        <w:t>月</w:t>
      </w:r>
      <w:r>
        <w:rPr>
          <w:rFonts w:hint="eastAsia" w:ascii="宋体" w:hAnsi="宋体" w:cs="宋体"/>
          <w:bCs/>
          <w:sz w:val="24"/>
          <w:highlight w:val="none"/>
          <w:u w:val="single"/>
        </w:rPr>
        <w:t xml:space="preserve">      </w:t>
      </w:r>
      <w:r>
        <w:rPr>
          <w:rFonts w:hint="eastAsia" w:ascii="宋体" w:hAnsi="宋体" w:cs="宋体"/>
          <w:bCs/>
          <w:sz w:val="24"/>
          <w:highlight w:val="none"/>
        </w:rPr>
        <w:t>日</w:t>
      </w:r>
    </w:p>
    <w:p w14:paraId="0EFD5DCA">
      <w:pPr>
        <w:pageBreakBefore w:val="0"/>
        <w:kinsoku/>
        <w:overflowPunct/>
        <w:topLinePunct w:val="0"/>
        <w:bidi w:val="0"/>
        <w:spacing w:line="500" w:lineRule="exact"/>
        <w:outlineLvl w:val="9"/>
        <w:rPr>
          <w:rFonts w:hint="eastAsia" w:ascii="宋体" w:hAnsi="宋体" w:cs="宋体"/>
          <w:bCs/>
          <w:sz w:val="24"/>
          <w:highlight w:val="none"/>
        </w:rPr>
      </w:pPr>
    </w:p>
    <w:p w14:paraId="519561BC">
      <w:pPr>
        <w:pageBreakBefore w:val="0"/>
        <w:kinsoku/>
        <w:overflowPunct/>
        <w:topLinePunct w:val="0"/>
        <w:bidi w:val="0"/>
        <w:spacing w:line="500" w:lineRule="exact"/>
        <w:outlineLvl w:val="9"/>
        <w:rPr>
          <w:rFonts w:ascii="宋体" w:hAnsi="宋体" w:cs="宋体"/>
          <w:b/>
          <w:bCs w:val="0"/>
          <w:sz w:val="24"/>
          <w:highlight w:val="none"/>
        </w:rPr>
      </w:pPr>
      <w:r>
        <w:rPr>
          <w:rFonts w:hint="eastAsia" w:ascii="宋体" w:hAnsi="宋体" w:cs="宋体"/>
          <w:b/>
          <w:bCs w:val="0"/>
          <w:sz w:val="24"/>
          <w:highlight w:val="none"/>
        </w:rPr>
        <w:t>注：如为法定代表人参与竞争性磋商，无委托代理人的，响应文件中可以删除此授权委托书。</w:t>
      </w:r>
    </w:p>
    <w:p w14:paraId="6C4D3549">
      <w:pPr>
        <w:pageBreakBefore w:val="0"/>
        <w:kinsoku/>
        <w:overflowPunct/>
        <w:topLinePunct w:val="0"/>
        <w:bidi w:val="0"/>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576E8245">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三</w:t>
      </w:r>
      <w:r>
        <w:rPr>
          <w:rFonts w:hint="eastAsia" w:ascii="宋体" w:hAnsi="宋体" w:eastAsia="宋体" w:cs="宋体"/>
          <w:b/>
          <w:bCs/>
          <w:sz w:val="32"/>
          <w:szCs w:val="32"/>
          <w:highlight w:val="none"/>
          <w:lang w:eastAsia="zh-CN"/>
        </w:rPr>
        <w:t>、</w:t>
      </w:r>
      <w:r>
        <w:rPr>
          <w:rFonts w:hint="eastAsia" w:ascii="宋体" w:hAnsi="宋体" w:eastAsia="宋体" w:cs="宋体"/>
          <w:b/>
          <w:bCs/>
          <w:sz w:val="32"/>
          <w:szCs w:val="32"/>
          <w:highlight w:val="none"/>
        </w:rPr>
        <w:t>磋商承诺函</w:t>
      </w:r>
    </w:p>
    <w:p w14:paraId="089F03EF">
      <w:pPr>
        <w:pageBreakBefore w:val="0"/>
        <w:kinsoku/>
        <w:overflowPunct/>
        <w:topLinePunct w:val="0"/>
        <w:bidi w:val="0"/>
        <w:outlineLvl w:val="9"/>
        <w:rPr>
          <w:rFonts w:ascii="宋体" w:hAnsi="宋体" w:cs="宋体"/>
          <w:highlight w:val="none"/>
        </w:rPr>
      </w:pPr>
    </w:p>
    <w:p w14:paraId="4FBF8E17">
      <w:pPr>
        <w:pageBreakBefore w:val="0"/>
        <w:kinsoku/>
        <w:overflowPunct/>
        <w:topLinePunct w:val="0"/>
        <w:bidi w:val="0"/>
        <w:outlineLvl w:val="9"/>
        <w:rPr>
          <w:rFonts w:ascii="宋体" w:hAnsi="宋体" w:cs="宋体"/>
          <w:highlight w:val="none"/>
        </w:rPr>
      </w:pPr>
    </w:p>
    <w:p w14:paraId="23C79D62">
      <w:pPr>
        <w:pageBreakBefore w:val="0"/>
        <w:kinsoku/>
        <w:overflowPunct/>
        <w:topLinePunct w:val="0"/>
        <w:bidi w:val="0"/>
        <w:outlineLvl w:val="9"/>
        <w:rPr>
          <w:b/>
          <w:highlight w:val="none"/>
        </w:rPr>
      </w:pPr>
      <w:r>
        <w:rPr>
          <w:rFonts w:hint="eastAsia" w:ascii="宋体" w:hAnsi="宋体" w:cs="宋体"/>
          <w:b/>
          <w:color w:val="000000"/>
          <w:sz w:val="24"/>
          <w:szCs w:val="24"/>
          <w:highlight w:val="none"/>
        </w:rPr>
        <w:t xml:space="preserve">附件一： </w:t>
      </w:r>
    </w:p>
    <w:p w14:paraId="516AABB5">
      <w:pPr>
        <w:pageBreakBefore w:val="0"/>
        <w:kinsoku/>
        <w:overflowPunct/>
        <w:topLinePunct w:val="0"/>
        <w:bidi w:val="0"/>
        <w:spacing w:line="500" w:lineRule="exact"/>
        <w:outlineLvl w:val="9"/>
        <w:rPr>
          <w:rFonts w:ascii="宋体" w:hAnsi="宋体" w:cs="宋体"/>
          <w:b/>
          <w:sz w:val="24"/>
          <w:highlight w:val="none"/>
        </w:rPr>
      </w:pPr>
      <w:r>
        <w:rPr>
          <w:rFonts w:hint="eastAsia" w:ascii="宋体" w:hAnsi="宋体" w:cs="宋体"/>
          <w:b/>
          <w:sz w:val="24"/>
          <w:highlight w:val="none"/>
        </w:rPr>
        <w:t>致：</w:t>
      </w:r>
      <w:r>
        <w:rPr>
          <w:rFonts w:hint="eastAsia" w:ascii="宋体" w:hAnsi="宋体" w:cs="宋体"/>
          <w:b/>
          <w:sz w:val="24"/>
          <w:highlight w:val="none"/>
          <w:u w:val="single"/>
        </w:rPr>
        <w:t xml:space="preserve"> （采购人及采购代理机构） </w:t>
      </w:r>
    </w:p>
    <w:p w14:paraId="73013781">
      <w:pPr>
        <w:pageBreakBefore w:val="0"/>
        <w:kinsoku/>
        <w:overflowPunct/>
        <w:topLinePunct w:val="0"/>
        <w:bidi w:val="0"/>
        <w:spacing w:line="500" w:lineRule="exact"/>
        <w:ind w:firstLine="960" w:firstLineChars="400"/>
        <w:outlineLvl w:val="9"/>
        <w:rPr>
          <w:rFonts w:ascii="宋体" w:hAnsi="宋体" w:cs="宋体"/>
          <w:bCs/>
          <w:sz w:val="24"/>
          <w:highlight w:val="none"/>
        </w:rPr>
      </w:pPr>
      <w:r>
        <w:rPr>
          <w:rFonts w:hint="eastAsia" w:ascii="宋体" w:hAnsi="宋体" w:cs="宋体"/>
          <w:bCs/>
          <w:sz w:val="24"/>
          <w:highlight w:val="none"/>
        </w:rPr>
        <w:t>我公司作为本次采购项目的供应商，根据竞争性磋商文件要求，现郑重承诺如下：</w:t>
      </w:r>
    </w:p>
    <w:p w14:paraId="662D2709">
      <w:pPr>
        <w:pageBreakBefore w:val="0"/>
        <w:kinsoku/>
        <w:overflowPunct/>
        <w:topLinePunct w:val="0"/>
        <w:bidi w:val="0"/>
        <w:spacing w:line="500" w:lineRule="exact"/>
        <w:ind w:left="567"/>
        <w:outlineLvl w:val="9"/>
        <w:rPr>
          <w:rFonts w:ascii="宋体" w:hAnsi="宋体" w:cs="宋体"/>
          <w:bCs/>
          <w:sz w:val="24"/>
          <w:highlight w:val="none"/>
        </w:rPr>
      </w:pPr>
      <w:r>
        <w:rPr>
          <w:rFonts w:hint="eastAsia" w:ascii="宋体" w:hAnsi="宋体" w:cs="宋体"/>
          <w:bCs/>
          <w:sz w:val="24"/>
          <w:highlight w:val="none"/>
        </w:rPr>
        <w:t>一、具备《中华人民共和国政府采购法》第二十二条第一款和本项目规定的条件：</w:t>
      </w:r>
    </w:p>
    <w:p w14:paraId="02A44FE7">
      <w:pPr>
        <w:pageBreakBefore w:val="0"/>
        <w:kinsoku/>
        <w:overflowPunct/>
        <w:topLinePunct w:val="0"/>
        <w:bidi w:val="0"/>
        <w:spacing w:line="500" w:lineRule="exact"/>
        <w:ind w:left="567" w:firstLine="240" w:firstLineChars="100"/>
        <w:outlineLvl w:val="9"/>
        <w:rPr>
          <w:rFonts w:ascii="宋体" w:hAnsi="宋体" w:cs="宋体"/>
          <w:bCs/>
          <w:sz w:val="24"/>
          <w:highlight w:val="none"/>
        </w:rPr>
      </w:pPr>
      <w:r>
        <w:rPr>
          <w:rFonts w:hint="eastAsia" w:ascii="宋体" w:hAnsi="宋体" w:cs="宋体"/>
          <w:bCs/>
          <w:sz w:val="24"/>
          <w:highlight w:val="none"/>
        </w:rPr>
        <w:t xml:space="preserve">（一）具有独立承担民事责任的能力； </w:t>
      </w:r>
    </w:p>
    <w:p w14:paraId="329DCB39">
      <w:pPr>
        <w:pageBreakBefore w:val="0"/>
        <w:kinsoku/>
        <w:overflowPunct/>
        <w:topLinePunct w:val="0"/>
        <w:bidi w:val="0"/>
        <w:spacing w:line="500" w:lineRule="exact"/>
        <w:ind w:left="567" w:firstLine="240" w:firstLineChars="100"/>
        <w:outlineLvl w:val="9"/>
        <w:rPr>
          <w:rFonts w:ascii="宋体" w:hAnsi="宋体" w:cs="宋体"/>
          <w:bCs/>
          <w:sz w:val="24"/>
          <w:highlight w:val="none"/>
        </w:rPr>
      </w:pPr>
      <w:r>
        <w:rPr>
          <w:rFonts w:hint="eastAsia" w:ascii="宋体" w:hAnsi="宋体" w:cs="宋体"/>
          <w:bCs/>
          <w:sz w:val="24"/>
          <w:highlight w:val="none"/>
        </w:rPr>
        <w:t xml:space="preserve">（二）具有良好的商业信誉和健全的财务会计制度； </w:t>
      </w:r>
    </w:p>
    <w:p w14:paraId="6031B7CD">
      <w:pPr>
        <w:pageBreakBefore w:val="0"/>
        <w:kinsoku/>
        <w:overflowPunct/>
        <w:topLinePunct w:val="0"/>
        <w:bidi w:val="0"/>
        <w:spacing w:line="500" w:lineRule="exact"/>
        <w:ind w:left="567" w:firstLine="240" w:firstLineChars="100"/>
        <w:outlineLvl w:val="9"/>
        <w:rPr>
          <w:rFonts w:ascii="宋体" w:hAnsi="宋体" w:cs="宋体"/>
          <w:bCs/>
          <w:sz w:val="24"/>
          <w:highlight w:val="none"/>
        </w:rPr>
      </w:pPr>
      <w:r>
        <w:rPr>
          <w:rFonts w:hint="eastAsia" w:ascii="宋体" w:hAnsi="宋体" w:cs="宋体"/>
          <w:bCs/>
          <w:sz w:val="24"/>
          <w:highlight w:val="none"/>
        </w:rPr>
        <w:t xml:space="preserve">（三）具有履行合同所必需的设备和专业技术能力； </w:t>
      </w:r>
    </w:p>
    <w:p w14:paraId="420C4B82">
      <w:pPr>
        <w:pageBreakBefore w:val="0"/>
        <w:kinsoku/>
        <w:overflowPunct/>
        <w:topLinePunct w:val="0"/>
        <w:bidi w:val="0"/>
        <w:spacing w:line="500" w:lineRule="exact"/>
        <w:ind w:left="567" w:firstLine="240" w:firstLineChars="100"/>
        <w:outlineLvl w:val="9"/>
        <w:rPr>
          <w:rFonts w:ascii="宋体" w:hAnsi="宋体" w:cs="宋体"/>
          <w:bCs/>
          <w:sz w:val="24"/>
          <w:highlight w:val="none"/>
        </w:rPr>
      </w:pPr>
      <w:r>
        <w:rPr>
          <w:rFonts w:hint="eastAsia" w:ascii="宋体" w:hAnsi="宋体" w:cs="宋体"/>
          <w:bCs/>
          <w:sz w:val="24"/>
          <w:highlight w:val="none"/>
        </w:rPr>
        <w:t xml:space="preserve">（四）有依法缴纳税收和社会保障资金的良好记录； </w:t>
      </w:r>
    </w:p>
    <w:p w14:paraId="79F8781B">
      <w:pPr>
        <w:pageBreakBefore w:val="0"/>
        <w:kinsoku/>
        <w:overflowPunct/>
        <w:topLinePunct w:val="0"/>
        <w:bidi w:val="0"/>
        <w:spacing w:line="500" w:lineRule="exact"/>
        <w:ind w:left="567" w:firstLine="240" w:firstLineChars="100"/>
        <w:outlineLvl w:val="9"/>
        <w:rPr>
          <w:rFonts w:ascii="宋体" w:hAnsi="宋体" w:cs="宋体"/>
          <w:bCs/>
          <w:sz w:val="24"/>
          <w:highlight w:val="none"/>
        </w:rPr>
      </w:pPr>
      <w:r>
        <w:rPr>
          <w:rFonts w:hint="eastAsia" w:ascii="宋体" w:hAnsi="宋体" w:cs="宋体"/>
          <w:bCs/>
          <w:sz w:val="24"/>
          <w:highlight w:val="none"/>
        </w:rPr>
        <w:t xml:space="preserve">（五）参加政府采购活动前三年内，在经营活动中没有重大违法记录； </w:t>
      </w:r>
    </w:p>
    <w:p w14:paraId="09B91B5F">
      <w:pPr>
        <w:pageBreakBefore w:val="0"/>
        <w:kinsoku/>
        <w:overflowPunct/>
        <w:topLinePunct w:val="0"/>
        <w:bidi w:val="0"/>
        <w:spacing w:line="500" w:lineRule="exact"/>
        <w:ind w:left="567" w:firstLine="240" w:firstLineChars="100"/>
        <w:outlineLvl w:val="9"/>
        <w:rPr>
          <w:rFonts w:ascii="宋体" w:hAnsi="宋体" w:cs="宋体"/>
          <w:bCs/>
          <w:sz w:val="24"/>
          <w:highlight w:val="none"/>
        </w:rPr>
      </w:pPr>
      <w:r>
        <w:rPr>
          <w:rFonts w:hint="eastAsia" w:ascii="宋体" w:hAnsi="宋体" w:cs="宋体"/>
          <w:bCs/>
          <w:sz w:val="24"/>
          <w:highlight w:val="none"/>
        </w:rPr>
        <w:t xml:space="preserve">（六）法律、行政法规规定的其他条件； </w:t>
      </w:r>
    </w:p>
    <w:p w14:paraId="4E5F5326">
      <w:pPr>
        <w:pageBreakBefore w:val="0"/>
        <w:kinsoku/>
        <w:overflowPunct/>
        <w:topLinePunct w:val="0"/>
        <w:bidi w:val="0"/>
        <w:spacing w:line="500" w:lineRule="exact"/>
        <w:ind w:left="567" w:firstLine="240" w:firstLineChars="100"/>
        <w:outlineLvl w:val="9"/>
        <w:rPr>
          <w:rFonts w:ascii="宋体" w:hAnsi="宋体" w:cs="宋体"/>
          <w:bCs/>
          <w:sz w:val="24"/>
          <w:highlight w:val="none"/>
        </w:rPr>
      </w:pPr>
      <w:r>
        <w:rPr>
          <w:rFonts w:hint="eastAsia" w:ascii="宋体" w:hAnsi="宋体" w:cs="宋体"/>
          <w:bCs/>
          <w:sz w:val="24"/>
          <w:highlight w:val="none"/>
        </w:rPr>
        <w:t xml:space="preserve">（七）根据采购项目提出的特殊条件。 </w:t>
      </w:r>
    </w:p>
    <w:p w14:paraId="1131832C">
      <w:pPr>
        <w:pageBreakBefore w:val="0"/>
        <w:kinsoku/>
        <w:overflowPunct/>
        <w:topLinePunct w:val="0"/>
        <w:bidi w:val="0"/>
        <w:spacing w:line="500" w:lineRule="exact"/>
        <w:ind w:firstLine="480" w:firstLineChars="200"/>
        <w:outlineLvl w:val="9"/>
        <w:rPr>
          <w:rFonts w:ascii="宋体" w:hAnsi="宋体" w:cs="宋体"/>
          <w:bCs/>
          <w:sz w:val="24"/>
          <w:highlight w:val="none"/>
        </w:rPr>
      </w:pPr>
      <w:r>
        <w:rPr>
          <w:rFonts w:hint="eastAsia" w:ascii="宋体" w:hAnsi="宋体" w:cs="宋体"/>
          <w:bCs/>
          <w:sz w:val="24"/>
          <w:highlight w:val="none"/>
        </w:rPr>
        <w:t>二、完全接受和满足本项目竞争性磋商文件中规定的实质性要求，如对竞争性磋商文件有异议，已经在磋商截止时间届满前依法进行维权，不存在对竞争性磋商文件有异议的同时又参加竞争性磋商以求侥幸成交或者为实现其他非法目的的行为。</w:t>
      </w:r>
    </w:p>
    <w:p w14:paraId="19D845E2">
      <w:pPr>
        <w:pageBreakBefore w:val="0"/>
        <w:kinsoku/>
        <w:overflowPunct/>
        <w:topLinePunct w:val="0"/>
        <w:bidi w:val="0"/>
        <w:spacing w:line="500" w:lineRule="exact"/>
        <w:ind w:firstLine="480" w:firstLineChars="200"/>
        <w:outlineLvl w:val="9"/>
        <w:rPr>
          <w:rFonts w:ascii="宋体" w:hAnsi="宋体" w:cs="宋体"/>
          <w:bCs/>
          <w:sz w:val="24"/>
          <w:highlight w:val="none"/>
        </w:rPr>
      </w:pPr>
      <w:r>
        <w:rPr>
          <w:rFonts w:hint="eastAsia" w:ascii="宋体" w:hAnsi="宋体" w:cs="宋体"/>
          <w:bCs/>
          <w:sz w:val="24"/>
          <w:highlight w:val="none"/>
        </w:rPr>
        <w:t xml:space="preserve">三、参加本次项目，不存在与单位负责人为同一人或者存在直接控股、管理关系的其他供应商参与同一合同项下的政府采购活动的行为。 </w:t>
      </w:r>
    </w:p>
    <w:p w14:paraId="538E38D4">
      <w:pPr>
        <w:pageBreakBefore w:val="0"/>
        <w:kinsoku/>
        <w:overflowPunct/>
        <w:topLinePunct w:val="0"/>
        <w:bidi w:val="0"/>
        <w:spacing w:line="500" w:lineRule="exact"/>
        <w:ind w:firstLine="480" w:firstLineChars="200"/>
        <w:outlineLvl w:val="9"/>
        <w:rPr>
          <w:rFonts w:ascii="宋体" w:hAnsi="宋体" w:cs="宋体"/>
          <w:bCs/>
          <w:sz w:val="24"/>
          <w:highlight w:val="none"/>
        </w:rPr>
      </w:pPr>
      <w:r>
        <w:rPr>
          <w:rFonts w:hint="eastAsia" w:ascii="宋体" w:hAnsi="宋体" w:cs="宋体"/>
          <w:bCs/>
          <w:sz w:val="24"/>
          <w:highlight w:val="none"/>
        </w:rPr>
        <w:t>四、参加本次项目，不存在为本项目提供整体设计、规范编制或者项目管理、监理、检测等服务的行为。</w:t>
      </w:r>
    </w:p>
    <w:p w14:paraId="53395E16">
      <w:pPr>
        <w:pageBreakBefore w:val="0"/>
        <w:kinsoku/>
        <w:overflowPunct/>
        <w:topLinePunct w:val="0"/>
        <w:bidi w:val="0"/>
        <w:spacing w:line="500" w:lineRule="exact"/>
        <w:ind w:firstLine="480" w:firstLineChars="200"/>
        <w:outlineLvl w:val="9"/>
        <w:rPr>
          <w:rFonts w:ascii="宋体" w:hAnsi="宋体" w:cs="宋体"/>
          <w:bCs/>
          <w:sz w:val="24"/>
          <w:highlight w:val="none"/>
        </w:rPr>
      </w:pPr>
      <w:r>
        <w:rPr>
          <w:rFonts w:hint="eastAsia" w:ascii="宋体" w:hAnsi="宋体" w:cs="宋体"/>
          <w:bCs/>
          <w:sz w:val="24"/>
          <w:highlight w:val="none"/>
        </w:rPr>
        <w:t xml:space="preserve">五、参加本次项目，不存在和其他供应商在同一合同项下的采购项目中，同时委托同一个自然人、同一家庭的人员、同一单位的人员作为代理人的行为。 </w:t>
      </w:r>
    </w:p>
    <w:p w14:paraId="288AE06D">
      <w:pPr>
        <w:pageBreakBefore w:val="0"/>
        <w:kinsoku/>
        <w:overflowPunct/>
        <w:topLinePunct w:val="0"/>
        <w:bidi w:val="0"/>
        <w:spacing w:line="500" w:lineRule="exact"/>
        <w:ind w:firstLine="480" w:firstLineChars="200"/>
        <w:outlineLvl w:val="9"/>
        <w:rPr>
          <w:rFonts w:ascii="宋体" w:hAnsi="宋体" w:cs="宋体"/>
          <w:bCs/>
          <w:sz w:val="24"/>
          <w:highlight w:val="none"/>
        </w:rPr>
      </w:pPr>
      <w:r>
        <w:rPr>
          <w:rFonts w:hint="eastAsia" w:ascii="宋体" w:hAnsi="宋体" w:cs="宋体"/>
          <w:bCs/>
          <w:sz w:val="24"/>
          <w:highlight w:val="none"/>
        </w:rPr>
        <w:t xml:space="preserve">六、参加本次政府采购活动要求在近三年内供应商和其法定代表人没 </w:t>
      </w:r>
    </w:p>
    <w:p w14:paraId="6083135B">
      <w:pPr>
        <w:pageBreakBefore w:val="0"/>
        <w:kinsoku/>
        <w:overflowPunct/>
        <w:topLinePunct w:val="0"/>
        <w:bidi w:val="0"/>
        <w:spacing w:line="500" w:lineRule="exact"/>
        <w:outlineLvl w:val="9"/>
        <w:rPr>
          <w:rFonts w:ascii="宋体" w:hAnsi="宋体" w:cs="宋体"/>
          <w:bCs/>
          <w:sz w:val="24"/>
          <w:highlight w:val="none"/>
        </w:rPr>
      </w:pPr>
      <w:r>
        <w:rPr>
          <w:rFonts w:hint="eastAsia" w:ascii="宋体" w:hAnsi="宋体" w:cs="宋体"/>
          <w:bCs/>
          <w:sz w:val="24"/>
          <w:highlight w:val="none"/>
        </w:rPr>
        <w:t xml:space="preserve">有行贿犯罪行为。 </w:t>
      </w:r>
    </w:p>
    <w:p w14:paraId="7C497DA8">
      <w:pPr>
        <w:pageBreakBefore w:val="0"/>
        <w:kinsoku/>
        <w:overflowPunct/>
        <w:topLinePunct w:val="0"/>
        <w:bidi w:val="0"/>
        <w:spacing w:line="500" w:lineRule="exact"/>
        <w:ind w:left="567"/>
        <w:outlineLvl w:val="9"/>
        <w:rPr>
          <w:rFonts w:ascii="宋体" w:hAnsi="宋体" w:cs="宋体"/>
          <w:bCs/>
          <w:sz w:val="24"/>
          <w:highlight w:val="none"/>
        </w:rPr>
      </w:pPr>
      <w:r>
        <w:rPr>
          <w:rFonts w:hint="eastAsia" w:ascii="宋体" w:hAnsi="宋体" w:cs="宋体"/>
          <w:bCs/>
          <w:sz w:val="24"/>
          <w:highlight w:val="none"/>
        </w:rPr>
        <w:t xml:space="preserve">七、参加本次项目，不存在联合体磋商。 </w:t>
      </w:r>
    </w:p>
    <w:p w14:paraId="16FD9D8B">
      <w:pPr>
        <w:pageBreakBefore w:val="0"/>
        <w:kinsoku/>
        <w:overflowPunct/>
        <w:topLinePunct w:val="0"/>
        <w:bidi w:val="0"/>
        <w:spacing w:line="500" w:lineRule="exact"/>
        <w:ind w:left="567"/>
        <w:outlineLvl w:val="9"/>
        <w:rPr>
          <w:rFonts w:ascii="宋体" w:hAnsi="宋体" w:cs="宋体"/>
          <w:b/>
          <w:sz w:val="24"/>
          <w:highlight w:val="none"/>
        </w:rPr>
      </w:pPr>
      <w:r>
        <w:rPr>
          <w:rFonts w:hint="eastAsia" w:ascii="宋体" w:hAnsi="宋体" w:cs="宋体"/>
          <w:b/>
          <w:sz w:val="24"/>
          <w:highlight w:val="none"/>
        </w:rPr>
        <w:t xml:space="preserve">八、存在以下行为之一的愿意接受相关部门的处理： </w:t>
      </w:r>
    </w:p>
    <w:p w14:paraId="20B00FC6">
      <w:pPr>
        <w:pageBreakBefore w:val="0"/>
        <w:kinsoku/>
        <w:overflowPunct/>
        <w:topLinePunct w:val="0"/>
        <w:bidi w:val="0"/>
        <w:spacing w:line="500" w:lineRule="exact"/>
        <w:ind w:left="567"/>
        <w:outlineLvl w:val="9"/>
        <w:rPr>
          <w:rFonts w:ascii="宋体" w:hAnsi="宋体" w:cs="宋体"/>
          <w:bCs/>
          <w:sz w:val="24"/>
          <w:highlight w:val="none"/>
        </w:rPr>
      </w:pPr>
      <w:r>
        <w:rPr>
          <w:rFonts w:hint="eastAsia" w:ascii="宋体" w:hAnsi="宋体" w:cs="宋体"/>
          <w:bCs/>
          <w:sz w:val="24"/>
          <w:highlight w:val="none"/>
        </w:rPr>
        <w:t xml:space="preserve">（一）磋商有效期内撤销响应文件的； </w:t>
      </w:r>
    </w:p>
    <w:p w14:paraId="11CC02E0">
      <w:pPr>
        <w:pageBreakBefore w:val="0"/>
        <w:kinsoku/>
        <w:overflowPunct/>
        <w:topLinePunct w:val="0"/>
        <w:bidi w:val="0"/>
        <w:spacing w:line="500" w:lineRule="exact"/>
        <w:ind w:left="567"/>
        <w:outlineLvl w:val="9"/>
        <w:rPr>
          <w:rFonts w:ascii="宋体" w:hAnsi="宋体" w:cs="宋体"/>
          <w:bCs/>
          <w:sz w:val="24"/>
          <w:highlight w:val="none"/>
        </w:rPr>
      </w:pPr>
      <w:r>
        <w:rPr>
          <w:rFonts w:hint="eastAsia" w:ascii="宋体" w:hAnsi="宋体" w:cs="宋体"/>
          <w:bCs/>
          <w:sz w:val="24"/>
          <w:highlight w:val="none"/>
        </w:rPr>
        <w:t xml:space="preserve">（二）在采购人确定成交人以前放弃成交候选资格的； </w:t>
      </w:r>
    </w:p>
    <w:p w14:paraId="3BA2642E">
      <w:pPr>
        <w:pageBreakBefore w:val="0"/>
        <w:kinsoku/>
        <w:overflowPunct/>
        <w:topLinePunct w:val="0"/>
        <w:bidi w:val="0"/>
        <w:spacing w:line="500" w:lineRule="exact"/>
        <w:ind w:left="567"/>
        <w:outlineLvl w:val="9"/>
        <w:rPr>
          <w:rFonts w:ascii="宋体" w:hAnsi="宋体" w:cs="宋体"/>
          <w:bCs/>
          <w:sz w:val="24"/>
          <w:highlight w:val="none"/>
        </w:rPr>
      </w:pPr>
      <w:r>
        <w:rPr>
          <w:rFonts w:hint="eastAsia" w:ascii="宋体" w:hAnsi="宋体" w:cs="宋体"/>
          <w:bCs/>
          <w:sz w:val="24"/>
          <w:highlight w:val="none"/>
        </w:rPr>
        <w:t>（三）由于成交人的原因未能按照竞争性磋商文件的规定与采购人签订合同；</w:t>
      </w:r>
    </w:p>
    <w:p w14:paraId="76E92840">
      <w:pPr>
        <w:pageBreakBefore w:val="0"/>
        <w:kinsoku/>
        <w:overflowPunct/>
        <w:topLinePunct w:val="0"/>
        <w:bidi w:val="0"/>
        <w:spacing w:line="500" w:lineRule="exact"/>
        <w:ind w:left="567"/>
        <w:outlineLvl w:val="9"/>
        <w:rPr>
          <w:rFonts w:ascii="宋体" w:hAnsi="宋体" w:cs="宋体"/>
          <w:bCs/>
          <w:sz w:val="24"/>
          <w:highlight w:val="none"/>
        </w:rPr>
      </w:pPr>
      <w:r>
        <w:rPr>
          <w:rFonts w:hint="eastAsia" w:ascii="宋体" w:hAnsi="宋体" w:cs="宋体"/>
          <w:bCs/>
          <w:sz w:val="24"/>
          <w:highlight w:val="none"/>
        </w:rPr>
        <w:t xml:space="preserve">（四）由于成交人的原因未能按照竞争性磋商文件的规定交纳履约担保； </w:t>
      </w:r>
    </w:p>
    <w:p w14:paraId="2BE09A8A">
      <w:pPr>
        <w:pageBreakBefore w:val="0"/>
        <w:kinsoku/>
        <w:overflowPunct/>
        <w:topLinePunct w:val="0"/>
        <w:bidi w:val="0"/>
        <w:spacing w:line="500" w:lineRule="exact"/>
        <w:ind w:left="567"/>
        <w:outlineLvl w:val="9"/>
        <w:rPr>
          <w:rFonts w:ascii="宋体" w:hAnsi="宋体" w:cs="宋体"/>
          <w:bCs/>
          <w:sz w:val="24"/>
          <w:highlight w:val="none"/>
        </w:rPr>
      </w:pPr>
      <w:r>
        <w:rPr>
          <w:rFonts w:hint="eastAsia" w:ascii="宋体" w:hAnsi="宋体" w:cs="宋体"/>
          <w:bCs/>
          <w:sz w:val="24"/>
          <w:highlight w:val="none"/>
        </w:rPr>
        <w:t xml:space="preserve">（五）在响应文件中提供虚假材料谋取成交的； </w:t>
      </w:r>
    </w:p>
    <w:p w14:paraId="4327E608">
      <w:pPr>
        <w:pageBreakBefore w:val="0"/>
        <w:kinsoku/>
        <w:overflowPunct/>
        <w:topLinePunct w:val="0"/>
        <w:bidi w:val="0"/>
        <w:spacing w:line="500" w:lineRule="exact"/>
        <w:ind w:left="567"/>
        <w:outlineLvl w:val="9"/>
        <w:rPr>
          <w:rFonts w:ascii="宋体" w:hAnsi="宋体" w:cs="宋体"/>
          <w:bCs/>
          <w:sz w:val="24"/>
          <w:highlight w:val="none"/>
        </w:rPr>
      </w:pPr>
      <w:r>
        <w:rPr>
          <w:rFonts w:hint="eastAsia" w:ascii="宋体" w:hAnsi="宋体" w:cs="宋体"/>
          <w:bCs/>
          <w:sz w:val="24"/>
          <w:highlight w:val="none"/>
        </w:rPr>
        <w:t xml:space="preserve">（六）与采购人、其他供应商或者采购代理机构恶意串通的； </w:t>
      </w:r>
    </w:p>
    <w:p w14:paraId="4FB1BB1F">
      <w:pPr>
        <w:pageBreakBefore w:val="0"/>
        <w:kinsoku/>
        <w:overflowPunct/>
        <w:topLinePunct w:val="0"/>
        <w:bidi w:val="0"/>
        <w:spacing w:line="500" w:lineRule="exact"/>
        <w:ind w:left="567"/>
        <w:outlineLvl w:val="9"/>
        <w:rPr>
          <w:rFonts w:ascii="宋体" w:hAnsi="宋体" w:cs="宋体"/>
          <w:bCs/>
          <w:sz w:val="24"/>
          <w:highlight w:val="none"/>
        </w:rPr>
      </w:pPr>
      <w:r>
        <w:rPr>
          <w:rFonts w:hint="eastAsia" w:ascii="宋体" w:hAnsi="宋体" w:cs="宋体"/>
          <w:bCs/>
          <w:sz w:val="24"/>
          <w:highlight w:val="none"/>
        </w:rPr>
        <w:t xml:space="preserve">（七）磋商有效期内，供应商在政府采购活动中有违法、违规、违纪行为。 </w:t>
      </w:r>
    </w:p>
    <w:p w14:paraId="7D890121">
      <w:pPr>
        <w:pageBreakBefore w:val="0"/>
        <w:kinsoku/>
        <w:overflowPunct/>
        <w:topLinePunct w:val="0"/>
        <w:bidi w:val="0"/>
        <w:spacing w:line="500" w:lineRule="exact"/>
        <w:ind w:firstLine="480" w:firstLineChars="200"/>
        <w:outlineLvl w:val="9"/>
        <w:rPr>
          <w:rFonts w:ascii="宋体" w:hAnsi="宋体" w:cs="宋体"/>
          <w:bCs/>
          <w:sz w:val="24"/>
          <w:highlight w:val="none"/>
        </w:rPr>
      </w:pPr>
      <w:r>
        <w:rPr>
          <w:rFonts w:hint="eastAsia" w:ascii="宋体" w:hAnsi="宋体" w:cs="宋体"/>
          <w:bCs/>
          <w:sz w:val="24"/>
          <w:highlight w:val="none"/>
        </w:rPr>
        <w:t xml:space="preserve">由此产生的一切法律后果和责任由我公司承担。我公司声明放弃对此提出任何异议和追索的权利。 </w:t>
      </w:r>
    </w:p>
    <w:p w14:paraId="4F20766E">
      <w:pPr>
        <w:pageBreakBefore w:val="0"/>
        <w:kinsoku/>
        <w:overflowPunct/>
        <w:topLinePunct w:val="0"/>
        <w:bidi w:val="0"/>
        <w:spacing w:line="500" w:lineRule="exact"/>
        <w:ind w:firstLine="480" w:firstLineChars="200"/>
        <w:outlineLvl w:val="9"/>
        <w:rPr>
          <w:rFonts w:ascii="宋体" w:hAnsi="宋体" w:cs="宋体"/>
          <w:bCs/>
          <w:sz w:val="24"/>
          <w:highlight w:val="none"/>
        </w:rPr>
      </w:pPr>
      <w:r>
        <w:rPr>
          <w:rFonts w:hint="eastAsia" w:ascii="宋体" w:hAnsi="宋体" w:cs="宋体"/>
          <w:bCs/>
          <w:sz w:val="24"/>
          <w:highlight w:val="none"/>
        </w:rPr>
        <w:t>本公司对上述承诺的内容事项真实性负责。如经查实上述承诺的内容事项存在虚假，我公司愿意接受以提供虚假材料谋取中标追究法律责任。</w:t>
      </w:r>
    </w:p>
    <w:p w14:paraId="15A79E50">
      <w:pPr>
        <w:pageBreakBefore w:val="0"/>
        <w:kinsoku/>
        <w:overflowPunct/>
        <w:topLinePunct w:val="0"/>
        <w:bidi w:val="0"/>
        <w:outlineLvl w:val="9"/>
        <w:rPr>
          <w:rFonts w:ascii="宋体" w:hAnsi="宋体" w:cs="宋体"/>
          <w:sz w:val="24"/>
          <w:highlight w:val="none"/>
          <w:lang w:eastAsia="zh-CN"/>
        </w:rPr>
      </w:pPr>
    </w:p>
    <w:p w14:paraId="6848C522">
      <w:pPr>
        <w:pageBreakBefore w:val="0"/>
        <w:kinsoku/>
        <w:overflowPunct/>
        <w:topLinePunct w:val="0"/>
        <w:bidi w:val="0"/>
        <w:outlineLvl w:val="9"/>
        <w:rPr>
          <w:highlight w:val="none"/>
        </w:rPr>
      </w:pPr>
    </w:p>
    <w:p w14:paraId="4613E789">
      <w:pPr>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 xml:space="preserve">                            供应商：</w:t>
      </w:r>
      <w:r>
        <w:rPr>
          <w:rFonts w:hint="eastAsia" w:ascii="宋体" w:hAnsi="宋体" w:cs="宋体"/>
          <w:sz w:val="24"/>
          <w:highlight w:val="none"/>
          <w:u w:val="single"/>
        </w:rPr>
        <w:t xml:space="preserve">                   </w:t>
      </w:r>
      <w:r>
        <w:rPr>
          <w:rFonts w:hint="eastAsia" w:ascii="宋体" w:hAnsi="宋体" w:cs="宋体"/>
          <w:sz w:val="24"/>
          <w:highlight w:val="none"/>
        </w:rPr>
        <w:t>（盖单位公章）</w:t>
      </w:r>
    </w:p>
    <w:p w14:paraId="41466C8D">
      <w:pPr>
        <w:pageBreakBefore w:val="0"/>
        <w:kinsoku/>
        <w:overflowPunct/>
        <w:topLinePunct w:val="0"/>
        <w:bidi w:val="0"/>
        <w:outlineLvl w:val="9"/>
        <w:rPr>
          <w:highlight w:val="none"/>
        </w:rPr>
      </w:pPr>
    </w:p>
    <w:p w14:paraId="24DD0FF2">
      <w:pPr>
        <w:pStyle w:val="38"/>
        <w:pageBreakBefore w:val="0"/>
        <w:kinsoku/>
        <w:overflowPunct/>
        <w:topLinePunct w:val="0"/>
        <w:bidi w:val="0"/>
        <w:jc w:val="center"/>
        <w:outlineLvl w:val="9"/>
        <w:rPr>
          <w:highlight w:val="none"/>
        </w:rPr>
      </w:pPr>
      <w:r>
        <w:rPr>
          <w:rFonts w:hint="eastAsia" w:hAnsi="宋体"/>
          <w:bCs/>
          <w:highlight w:val="none"/>
        </w:rPr>
        <w:t xml:space="preserve">                         法定代表人：</w:t>
      </w:r>
      <w:r>
        <w:rPr>
          <w:rFonts w:hint="eastAsia" w:hAnsi="宋体"/>
          <w:bCs/>
          <w:highlight w:val="none"/>
          <w:u w:val="single"/>
        </w:rPr>
        <w:t xml:space="preserve">                  </w:t>
      </w:r>
      <w:r>
        <w:rPr>
          <w:rFonts w:hint="eastAsia" w:ascii="宋体" w:hAnsi="宋体" w:cs="宋体"/>
          <w:color w:val="000000"/>
          <w:sz w:val="24"/>
          <w:highlight w:val="none"/>
          <w:lang w:bidi="ar"/>
        </w:rPr>
        <w:t>（</w:t>
      </w:r>
      <w:r>
        <w:rPr>
          <w:rFonts w:hint="eastAsia" w:ascii="宋体" w:hAnsi="宋体" w:cs="宋体"/>
          <w:sz w:val="24"/>
          <w:highlight w:val="none"/>
        </w:rPr>
        <w:t>电子签章</w:t>
      </w:r>
      <w:r>
        <w:rPr>
          <w:rFonts w:hint="eastAsia" w:ascii="宋体" w:hAnsi="宋体" w:cs="宋体"/>
          <w:color w:val="000000"/>
          <w:sz w:val="24"/>
          <w:highlight w:val="none"/>
          <w:lang w:bidi="ar"/>
        </w:rPr>
        <w:t>）</w:t>
      </w:r>
    </w:p>
    <w:p w14:paraId="05371806">
      <w:pPr>
        <w:pStyle w:val="6"/>
        <w:pageBreakBefore w:val="0"/>
        <w:kinsoku/>
        <w:overflowPunct/>
        <w:topLinePunct w:val="0"/>
        <w:bidi w:val="0"/>
        <w:spacing w:line="480" w:lineRule="auto"/>
        <w:ind w:right="480" w:firstLine="480"/>
        <w:jc w:val="right"/>
        <w:outlineLvl w:val="9"/>
        <w:rPr>
          <w:rFonts w:hAnsi="宋体" w:eastAsia="宋体" w:cs="宋体"/>
          <w:kern w:val="2"/>
          <w:szCs w:val="22"/>
          <w:highlight w:val="none"/>
        </w:rPr>
      </w:pPr>
      <w:r>
        <w:rPr>
          <w:rFonts w:hint="eastAsia" w:hAnsi="宋体" w:eastAsia="宋体" w:cs="宋体"/>
          <w:highlight w:val="none"/>
        </w:rPr>
        <w:t xml:space="preserve">     </w:t>
      </w:r>
      <w:r>
        <w:rPr>
          <w:rFonts w:hint="eastAsia" w:hAnsi="宋体" w:eastAsia="宋体" w:cs="宋体"/>
          <w:highlight w:val="none"/>
          <w:u w:val="single"/>
        </w:rPr>
        <w:t xml:space="preserve"> </w:t>
      </w:r>
      <w:r>
        <w:rPr>
          <w:rFonts w:hint="eastAsia" w:hAnsi="宋体" w:eastAsia="宋体" w:cs="宋体"/>
          <w:kern w:val="2"/>
          <w:szCs w:val="22"/>
          <w:highlight w:val="none"/>
          <w:u w:val="single"/>
        </w:rPr>
        <w:t xml:space="preserve">    </w:t>
      </w:r>
      <w:r>
        <w:rPr>
          <w:rFonts w:hint="eastAsia" w:hAnsi="宋体" w:eastAsia="宋体" w:cs="宋体"/>
          <w:kern w:val="2"/>
          <w:szCs w:val="22"/>
          <w:highlight w:val="none"/>
        </w:rPr>
        <w:t>年</w:t>
      </w:r>
      <w:r>
        <w:rPr>
          <w:rFonts w:hint="eastAsia" w:hAnsi="宋体" w:eastAsia="宋体" w:cs="宋体"/>
          <w:kern w:val="2"/>
          <w:szCs w:val="22"/>
          <w:highlight w:val="none"/>
          <w:u w:val="single"/>
        </w:rPr>
        <w:t xml:space="preserve">     </w:t>
      </w:r>
      <w:r>
        <w:rPr>
          <w:rFonts w:hint="eastAsia" w:hAnsi="宋体" w:eastAsia="宋体" w:cs="宋体"/>
          <w:kern w:val="2"/>
          <w:szCs w:val="22"/>
          <w:highlight w:val="none"/>
        </w:rPr>
        <w:t>月</w:t>
      </w:r>
      <w:r>
        <w:rPr>
          <w:rFonts w:hint="eastAsia" w:hAnsi="宋体" w:eastAsia="宋体" w:cs="宋体"/>
          <w:kern w:val="2"/>
          <w:szCs w:val="22"/>
          <w:highlight w:val="none"/>
          <w:u w:val="single"/>
        </w:rPr>
        <w:t xml:space="preserve">     </w:t>
      </w:r>
      <w:r>
        <w:rPr>
          <w:rFonts w:hint="eastAsia" w:hAnsi="宋体" w:eastAsia="宋体" w:cs="宋体"/>
          <w:kern w:val="2"/>
          <w:szCs w:val="22"/>
          <w:highlight w:val="none"/>
        </w:rPr>
        <w:t>日</w:t>
      </w:r>
    </w:p>
    <w:p w14:paraId="6D2A0FA8">
      <w:pPr>
        <w:pageBreakBefore w:val="0"/>
        <w:kinsoku/>
        <w:overflowPunct/>
        <w:topLinePunct w:val="0"/>
        <w:bidi w:val="0"/>
        <w:spacing w:line="500" w:lineRule="exact"/>
        <w:outlineLvl w:val="9"/>
        <w:rPr>
          <w:rFonts w:ascii="宋体" w:hAnsi="宋体" w:cs="宋体"/>
          <w:bCs/>
          <w:sz w:val="24"/>
          <w:highlight w:val="none"/>
        </w:rPr>
      </w:pPr>
    </w:p>
    <w:p w14:paraId="6696786D">
      <w:pPr>
        <w:pageBreakBefore w:val="0"/>
        <w:kinsoku/>
        <w:overflowPunct/>
        <w:topLinePunct w:val="0"/>
        <w:bidi w:val="0"/>
        <w:spacing w:line="500" w:lineRule="exact"/>
        <w:outlineLvl w:val="9"/>
        <w:rPr>
          <w:rFonts w:ascii="宋体" w:hAnsi="宋体" w:cs="宋体"/>
          <w:bCs/>
          <w:sz w:val="24"/>
          <w:highlight w:val="none"/>
        </w:rPr>
      </w:pPr>
    </w:p>
    <w:p w14:paraId="7B7ABA2C">
      <w:pPr>
        <w:pageBreakBefore w:val="0"/>
        <w:kinsoku/>
        <w:overflowPunct/>
        <w:topLinePunct w:val="0"/>
        <w:bidi w:val="0"/>
        <w:spacing w:line="500" w:lineRule="exact"/>
        <w:outlineLvl w:val="9"/>
        <w:rPr>
          <w:rFonts w:ascii="宋体" w:hAnsi="宋体" w:cs="宋体"/>
          <w:bCs/>
          <w:sz w:val="24"/>
          <w:highlight w:val="none"/>
        </w:rPr>
      </w:pPr>
    </w:p>
    <w:p w14:paraId="396A6C38">
      <w:pPr>
        <w:pageBreakBefore w:val="0"/>
        <w:kinsoku/>
        <w:overflowPunct/>
        <w:topLinePunct w:val="0"/>
        <w:bidi w:val="0"/>
        <w:spacing w:line="500" w:lineRule="exact"/>
        <w:outlineLvl w:val="9"/>
        <w:rPr>
          <w:rFonts w:ascii="宋体" w:hAnsi="宋体" w:cs="宋体"/>
          <w:bCs/>
          <w:sz w:val="24"/>
          <w:highlight w:val="none"/>
        </w:rPr>
      </w:pPr>
    </w:p>
    <w:p w14:paraId="13B18CC7">
      <w:pPr>
        <w:pageBreakBefore w:val="0"/>
        <w:kinsoku/>
        <w:overflowPunct/>
        <w:topLinePunct w:val="0"/>
        <w:bidi w:val="0"/>
        <w:spacing w:line="500" w:lineRule="exact"/>
        <w:outlineLvl w:val="9"/>
        <w:rPr>
          <w:rFonts w:ascii="宋体" w:hAnsi="宋体" w:cs="宋体"/>
          <w:bCs/>
          <w:sz w:val="24"/>
          <w:highlight w:val="none"/>
        </w:rPr>
      </w:pPr>
    </w:p>
    <w:p w14:paraId="2CB355A0">
      <w:pPr>
        <w:pageBreakBefore w:val="0"/>
        <w:kinsoku/>
        <w:overflowPunct/>
        <w:topLinePunct w:val="0"/>
        <w:bidi w:val="0"/>
        <w:spacing w:line="500" w:lineRule="exact"/>
        <w:outlineLvl w:val="9"/>
        <w:rPr>
          <w:rFonts w:ascii="宋体" w:hAnsi="宋体" w:cs="宋体"/>
          <w:b/>
          <w:sz w:val="24"/>
          <w:highlight w:val="none"/>
        </w:rPr>
      </w:pPr>
    </w:p>
    <w:p w14:paraId="3B631F2F">
      <w:pPr>
        <w:pageBreakBefore w:val="0"/>
        <w:kinsoku/>
        <w:overflowPunct/>
        <w:topLinePunct w:val="0"/>
        <w:bidi w:val="0"/>
        <w:spacing w:line="500" w:lineRule="exact"/>
        <w:outlineLvl w:val="9"/>
        <w:rPr>
          <w:rFonts w:hint="eastAsia" w:ascii="宋体" w:hAnsi="宋体" w:cs="宋体"/>
          <w:b/>
          <w:sz w:val="24"/>
          <w:highlight w:val="none"/>
        </w:rPr>
      </w:pPr>
    </w:p>
    <w:p w14:paraId="36543B75">
      <w:pPr>
        <w:pageBreakBefore w:val="0"/>
        <w:kinsoku/>
        <w:overflowPunct/>
        <w:topLinePunct w:val="0"/>
        <w:bidi w:val="0"/>
        <w:spacing w:line="500" w:lineRule="exact"/>
        <w:outlineLvl w:val="9"/>
        <w:rPr>
          <w:rFonts w:hint="eastAsia" w:ascii="宋体" w:hAnsi="宋体" w:cs="宋体"/>
          <w:b/>
          <w:sz w:val="24"/>
          <w:highlight w:val="none"/>
        </w:rPr>
      </w:pPr>
    </w:p>
    <w:p w14:paraId="0DC63948">
      <w:pPr>
        <w:pageBreakBefore w:val="0"/>
        <w:kinsoku/>
        <w:overflowPunct/>
        <w:topLinePunct w:val="0"/>
        <w:bidi w:val="0"/>
        <w:spacing w:line="500" w:lineRule="exact"/>
        <w:outlineLvl w:val="9"/>
        <w:rPr>
          <w:rFonts w:ascii="宋体" w:hAnsi="宋体" w:cs="宋体"/>
          <w:b/>
          <w:sz w:val="24"/>
          <w:highlight w:val="none"/>
        </w:rPr>
      </w:pPr>
      <w:r>
        <w:rPr>
          <w:rFonts w:hint="eastAsia" w:ascii="宋体" w:hAnsi="宋体" w:cs="宋体"/>
          <w:b/>
          <w:sz w:val="24"/>
          <w:highlight w:val="none"/>
        </w:rPr>
        <w:t>附件二：</w:t>
      </w:r>
    </w:p>
    <w:p w14:paraId="1235F2BB">
      <w:pPr>
        <w:pageBreakBefore w:val="0"/>
        <w:kinsoku/>
        <w:overflowPunct/>
        <w:topLinePunct w:val="0"/>
        <w:bidi w:val="0"/>
        <w:outlineLvl w:val="9"/>
        <w:rPr>
          <w:highlight w:val="none"/>
          <w:lang w:eastAsia="zh-CN"/>
        </w:rPr>
      </w:pPr>
    </w:p>
    <w:p w14:paraId="46B07D7B">
      <w:pPr>
        <w:pageBreakBefore w:val="0"/>
        <w:widowControl w:val="0"/>
        <w:kinsoku/>
        <w:overflowPunct/>
        <w:topLinePunct w:val="0"/>
        <w:bidi w:val="0"/>
        <w:spacing w:line="360" w:lineRule="auto"/>
        <w:outlineLvl w:val="9"/>
        <w:rPr>
          <w:rFonts w:ascii="宋体" w:hAnsi="宋体" w:cs="宋体"/>
          <w:b/>
          <w:sz w:val="24"/>
          <w:highlight w:val="none"/>
          <w:u w:val="single"/>
        </w:rPr>
      </w:pPr>
      <w:r>
        <w:rPr>
          <w:rFonts w:hint="eastAsia" w:ascii="宋体" w:hAnsi="宋体" w:cs="宋体"/>
          <w:b/>
          <w:sz w:val="24"/>
          <w:highlight w:val="none"/>
        </w:rPr>
        <w:t>致：</w:t>
      </w:r>
      <w:r>
        <w:rPr>
          <w:rFonts w:hint="eastAsia" w:ascii="宋体" w:hAnsi="宋体" w:cs="宋体"/>
          <w:b/>
          <w:sz w:val="24"/>
          <w:highlight w:val="none"/>
          <w:u w:val="single"/>
        </w:rPr>
        <w:t xml:space="preserve"> （采购人及采购代理机构） </w:t>
      </w:r>
    </w:p>
    <w:p w14:paraId="202A8055">
      <w:pPr>
        <w:pageBreakBefore w:val="0"/>
        <w:widowControl w:val="0"/>
        <w:kinsoku/>
        <w:overflowPunct/>
        <w:topLinePunct w:val="0"/>
        <w:bidi w:val="0"/>
        <w:spacing w:line="360" w:lineRule="auto"/>
        <w:ind w:firstLine="960" w:firstLineChars="400"/>
        <w:jc w:val="both"/>
        <w:outlineLvl w:val="9"/>
        <w:rPr>
          <w:rFonts w:ascii="宋体" w:hAnsi="宋体" w:cs="宋体"/>
          <w:sz w:val="24"/>
          <w:szCs w:val="28"/>
          <w:highlight w:val="none"/>
        </w:rPr>
      </w:pPr>
      <w:r>
        <w:rPr>
          <w:rFonts w:hint="eastAsia" w:ascii="宋体" w:hAnsi="宋体" w:cs="宋体"/>
          <w:sz w:val="24"/>
          <w:szCs w:val="28"/>
          <w:highlight w:val="none"/>
        </w:rPr>
        <w:t>我们在贵公司组织的</w:t>
      </w:r>
      <w:r>
        <w:rPr>
          <w:rFonts w:hint="eastAsia" w:ascii="宋体" w:hAnsi="宋体" w:cs="宋体"/>
          <w:sz w:val="24"/>
          <w:highlight w:val="none"/>
        </w:rPr>
        <w:t>（项目名称</w:t>
      </w:r>
      <w:r>
        <w:rPr>
          <w:rFonts w:hint="eastAsia" w:ascii="宋体" w:hAnsi="宋体" w:cs="宋体"/>
          <w:sz w:val="24"/>
          <w:highlight w:val="none"/>
          <w:lang w:eastAsia="zh-CN"/>
        </w:rPr>
        <w:t>、</w:t>
      </w:r>
      <w:r>
        <w:rPr>
          <w:rFonts w:hint="eastAsia" w:ascii="宋体" w:hAnsi="宋体" w:cs="宋体"/>
          <w:sz w:val="24"/>
          <w:highlight w:val="none"/>
          <w:lang w:val="en-US" w:eastAsia="zh-CN"/>
        </w:rPr>
        <w:t>标段</w:t>
      </w:r>
      <w:r>
        <w:rPr>
          <w:rFonts w:hint="eastAsia" w:ascii="宋体" w:hAnsi="宋体" w:cs="宋体"/>
          <w:sz w:val="24"/>
          <w:highlight w:val="none"/>
        </w:rPr>
        <w:t>）</w:t>
      </w:r>
      <w:r>
        <w:rPr>
          <w:rFonts w:hint="eastAsia" w:ascii="宋体" w:hAnsi="宋体" w:cs="宋体"/>
          <w:sz w:val="24"/>
          <w:szCs w:val="28"/>
          <w:highlight w:val="none"/>
        </w:rPr>
        <w:t xml:space="preserve"> ：</w:t>
      </w:r>
      <w:r>
        <w:rPr>
          <w:rFonts w:hint="eastAsia" w:ascii="宋体" w:hAnsi="宋体" w:cs="宋体"/>
          <w:sz w:val="24"/>
          <w:szCs w:val="28"/>
          <w:highlight w:val="none"/>
          <w:u w:val="single"/>
        </w:rPr>
        <w:t xml:space="preserve">            </w:t>
      </w:r>
      <w:r>
        <w:rPr>
          <w:rFonts w:hint="eastAsia" w:ascii="宋体" w:hAnsi="宋体" w:cs="宋体"/>
          <w:sz w:val="24"/>
          <w:szCs w:val="28"/>
          <w:highlight w:val="none"/>
        </w:rPr>
        <w:t xml:space="preserve"> ，项目编号：</w:t>
      </w:r>
      <w:r>
        <w:rPr>
          <w:rFonts w:hint="eastAsia" w:ascii="宋体" w:hAnsi="宋体" w:cs="宋体"/>
          <w:sz w:val="24"/>
          <w:szCs w:val="28"/>
          <w:highlight w:val="none"/>
          <w:u w:val="single"/>
        </w:rPr>
        <w:t xml:space="preserve">               </w:t>
      </w:r>
      <w:r>
        <w:rPr>
          <w:rFonts w:hint="eastAsia" w:ascii="宋体" w:hAnsi="宋体" w:cs="宋体"/>
          <w:sz w:val="24"/>
          <w:szCs w:val="28"/>
          <w:highlight w:val="none"/>
        </w:rPr>
        <w:t>）磋商中若获成交资格，我们保证在成交结果公告发布后5个工作日内，按</w:t>
      </w:r>
      <w:r>
        <w:rPr>
          <w:rFonts w:hint="eastAsia" w:ascii="宋体" w:hAnsi="宋体" w:cs="宋体"/>
          <w:bCs/>
          <w:sz w:val="24"/>
          <w:highlight w:val="none"/>
        </w:rPr>
        <w:t>竞争性磋商</w:t>
      </w:r>
      <w:r>
        <w:rPr>
          <w:rFonts w:hint="eastAsia" w:ascii="宋体" w:hAnsi="宋体" w:cs="宋体"/>
          <w:sz w:val="24"/>
          <w:szCs w:val="28"/>
          <w:highlight w:val="none"/>
        </w:rPr>
        <w:t>文件的规定，以支票、银行转账、汇票或现金，向贵公司一次性支付采购代理服务费用。否则，由此产生的一切法律后果和责任由我公司承担。我公司声明放弃对此提出任何异议和追索的权利。</w:t>
      </w:r>
    </w:p>
    <w:p w14:paraId="3680C9F0">
      <w:pPr>
        <w:pageBreakBefore w:val="0"/>
        <w:kinsoku/>
        <w:overflowPunct/>
        <w:topLinePunct w:val="0"/>
        <w:bidi w:val="0"/>
        <w:spacing w:line="460" w:lineRule="exact"/>
        <w:ind w:firstLine="480" w:firstLineChars="200"/>
        <w:jc w:val="both"/>
        <w:outlineLvl w:val="9"/>
        <w:rPr>
          <w:rFonts w:ascii="宋体" w:hAnsi="宋体" w:cs="宋体"/>
          <w:sz w:val="24"/>
          <w:szCs w:val="28"/>
          <w:highlight w:val="none"/>
        </w:rPr>
      </w:pPr>
    </w:p>
    <w:p w14:paraId="3F6A5074">
      <w:pPr>
        <w:pageBreakBefore w:val="0"/>
        <w:kinsoku/>
        <w:overflowPunct/>
        <w:topLinePunct w:val="0"/>
        <w:bidi w:val="0"/>
        <w:spacing w:line="460" w:lineRule="exact"/>
        <w:ind w:firstLine="480" w:firstLineChars="200"/>
        <w:jc w:val="both"/>
        <w:outlineLvl w:val="9"/>
        <w:rPr>
          <w:rFonts w:ascii="宋体" w:hAnsi="宋体" w:cs="宋体"/>
          <w:sz w:val="24"/>
          <w:szCs w:val="28"/>
          <w:highlight w:val="none"/>
        </w:rPr>
      </w:pPr>
      <w:r>
        <w:rPr>
          <w:rFonts w:hint="eastAsia" w:ascii="宋体" w:hAnsi="宋体" w:cs="宋体"/>
          <w:sz w:val="24"/>
          <w:szCs w:val="28"/>
          <w:highlight w:val="none"/>
        </w:rPr>
        <w:t>特此承诺。</w:t>
      </w:r>
    </w:p>
    <w:p w14:paraId="222C360E">
      <w:pPr>
        <w:pageBreakBefore w:val="0"/>
        <w:kinsoku/>
        <w:overflowPunct/>
        <w:topLinePunct w:val="0"/>
        <w:bidi w:val="0"/>
        <w:spacing w:line="460" w:lineRule="exact"/>
        <w:ind w:firstLine="480" w:firstLineChars="200"/>
        <w:outlineLvl w:val="9"/>
        <w:rPr>
          <w:rFonts w:ascii="宋体" w:hAnsi="宋体" w:cs="宋体"/>
          <w:sz w:val="24"/>
          <w:szCs w:val="28"/>
          <w:highlight w:val="none"/>
        </w:rPr>
      </w:pPr>
    </w:p>
    <w:p w14:paraId="7CE1A300">
      <w:pPr>
        <w:pageBreakBefore w:val="0"/>
        <w:kinsoku/>
        <w:overflowPunct/>
        <w:topLinePunct w:val="0"/>
        <w:bidi w:val="0"/>
        <w:spacing w:line="520" w:lineRule="exact"/>
        <w:jc w:val="right"/>
        <w:outlineLvl w:val="9"/>
        <w:rPr>
          <w:rFonts w:ascii="宋体" w:hAnsi="宋体" w:cs="宋体"/>
          <w:sz w:val="24"/>
          <w:highlight w:val="none"/>
        </w:rPr>
      </w:pPr>
    </w:p>
    <w:p w14:paraId="0B8AF179">
      <w:pPr>
        <w:pageBreakBefore w:val="0"/>
        <w:kinsoku/>
        <w:overflowPunct/>
        <w:topLinePunct w:val="0"/>
        <w:bidi w:val="0"/>
        <w:spacing w:line="520" w:lineRule="exact"/>
        <w:jc w:val="right"/>
        <w:outlineLvl w:val="9"/>
        <w:rPr>
          <w:rFonts w:ascii="宋体" w:hAnsi="宋体" w:cs="宋体"/>
          <w:sz w:val="24"/>
          <w:highlight w:val="none"/>
        </w:rPr>
      </w:pPr>
    </w:p>
    <w:p w14:paraId="51F40AB7">
      <w:pPr>
        <w:pageBreakBefore w:val="0"/>
        <w:kinsoku/>
        <w:overflowPunct/>
        <w:topLinePunct w:val="0"/>
        <w:bidi w:val="0"/>
        <w:spacing w:line="520" w:lineRule="exact"/>
        <w:jc w:val="right"/>
        <w:outlineLvl w:val="9"/>
        <w:rPr>
          <w:rFonts w:ascii="宋体" w:hAnsi="宋体" w:cs="宋体"/>
          <w:sz w:val="24"/>
          <w:highlight w:val="none"/>
        </w:rPr>
      </w:pPr>
    </w:p>
    <w:p w14:paraId="6A8C12BD">
      <w:pPr>
        <w:pageBreakBefore w:val="0"/>
        <w:kinsoku/>
        <w:overflowPunct/>
        <w:topLinePunct w:val="0"/>
        <w:bidi w:val="0"/>
        <w:spacing w:line="440" w:lineRule="exact"/>
        <w:jc w:val="right"/>
        <w:outlineLvl w:val="9"/>
        <w:rPr>
          <w:rFonts w:ascii="宋体" w:hAnsi="宋体" w:cs="宋体"/>
          <w:sz w:val="24"/>
          <w:highlight w:val="none"/>
        </w:rPr>
      </w:pPr>
      <w:r>
        <w:rPr>
          <w:rFonts w:hint="eastAsia" w:ascii="宋体" w:hAnsi="宋体" w:cs="宋体"/>
          <w:sz w:val="24"/>
          <w:highlight w:val="none"/>
        </w:rPr>
        <w:t>供应商：</w:t>
      </w:r>
      <w:r>
        <w:rPr>
          <w:rFonts w:hint="eastAsia" w:ascii="宋体" w:hAnsi="宋体" w:cs="宋体"/>
          <w:sz w:val="24"/>
          <w:highlight w:val="none"/>
          <w:u w:val="single"/>
        </w:rPr>
        <w:t xml:space="preserve">                   </w:t>
      </w:r>
      <w:r>
        <w:rPr>
          <w:rFonts w:hint="eastAsia" w:ascii="宋体" w:hAnsi="宋体" w:cs="宋体"/>
          <w:sz w:val="24"/>
          <w:highlight w:val="none"/>
        </w:rPr>
        <w:t>（盖单位公章）</w:t>
      </w:r>
    </w:p>
    <w:p w14:paraId="2DAFAD00">
      <w:pPr>
        <w:pageBreakBefore w:val="0"/>
        <w:kinsoku/>
        <w:overflowPunct/>
        <w:topLinePunct w:val="0"/>
        <w:bidi w:val="0"/>
        <w:outlineLvl w:val="9"/>
        <w:rPr>
          <w:highlight w:val="none"/>
        </w:rPr>
      </w:pPr>
    </w:p>
    <w:p w14:paraId="1F32C264">
      <w:pPr>
        <w:pStyle w:val="38"/>
        <w:pageBreakBefore w:val="0"/>
        <w:kinsoku/>
        <w:overflowPunct/>
        <w:topLinePunct w:val="0"/>
        <w:bidi w:val="0"/>
        <w:jc w:val="center"/>
        <w:outlineLvl w:val="9"/>
        <w:rPr>
          <w:highlight w:val="none"/>
        </w:rPr>
      </w:pPr>
      <w:r>
        <w:rPr>
          <w:rFonts w:hint="eastAsia" w:hAnsi="宋体"/>
          <w:bCs/>
          <w:highlight w:val="none"/>
        </w:rPr>
        <w:t xml:space="preserve">                             法定代表人：</w:t>
      </w:r>
      <w:r>
        <w:rPr>
          <w:rFonts w:hint="eastAsia" w:hAnsi="宋体"/>
          <w:bCs/>
          <w:highlight w:val="none"/>
          <w:u w:val="single"/>
        </w:rPr>
        <w:t xml:space="preserve">                 </w:t>
      </w:r>
      <w:r>
        <w:rPr>
          <w:rFonts w:hint="eastAsia" w:hAnsi="宋体"/>
          <w:bCs/>
          <w:highlight w:val="none"/>
        </w:rPr>
        <w:t>（</w:t>
      </w:r>
      <w:r>
        <w:rPr>
          <w:rFonts w:hint="eastAsia" w:ascii="宋体" w:hAnsi="宋体" w:cs="宋体"/>
          <w:sz w:val="24"/>
          <w:highlight w:val="none"/>
        </w:rPr>
        <w:t>电子签章</w:t>
      </w:r>
      <w:r>
        <w:rPr>
          <w:rFonts w:hint="eastAsia" w:hAnsi="宋体"/>
          <w:bCs/>
          <w:highlight w:val="none"/>
        </w:rPr>
        <w:t>）</w:t>
      </w:r>
    </w:p>
    <w:p w14:paraId="58C0B46D">
      <w:pPr>
        <w:pStyle w:val="6"/>
        <w:pageBreakBefore w:val="0"/>
        <w:kinsoku/>
        <w:overflowPunct/>
        <w:topLinePunct w:val="0"/>
        <w:bidi w:val="0"/>
        <w:spacing w:line="480" w:lineRule="auto"/>
        <w:ind w:right="480" w:firstLine="480"/>
        <w:jc w:val="right"/>
        <w:outlineLvl w:val="9"/>
        <w:rPr>
          <w:rFonts w:hAnsi="宋体" w:eastAsia="宋体" w:cs="宋体"/>
          <w:kern w:val="2"/>
          <w:szCs w:val="22"/>
          <w:highlight w:val="none"/>
        </w:rPr>
      </w:pPr>
      <w:r>
        <w:rPr>
          <w:rFonts w:hint="eastAsia" w:hAnsi="宋体" w:eastAsia="宋体" w:cs="宋体"/>
          <w:highlight w:val="none"/>
        </w:rPr>
        <w:t xml:space="preserve">     </w:t>
      </w:r>
      <w:r>
        <w:rPr>
          <w:rFonts w:hint="eastAsia" w:hAnsi="宋体" w:eastAsia="宋体" w:cs="宋体"/>
          <w:highlight w:val="none"/>
          <w:u w:val="single"/>
        </w:rPr>
        <w:t xml:space="preserve"> </w:t>
      </w:r>
      <w:r>
        <w:rPr>
          <w:rFonts w:hint="eastAsia" w:hAnsi="宋体" w:eastAsia="宋体" w:cs="宋体"/>
          <w:kern w:val="2"/>
          <w:szCs w:val="22"/>
          <w:highlight w:val="none"/>
          <w:u w:val="single"/>
        </w:rPr>
        <w:t xml:space="preserve">    </w:t>
      </w:r>
      <w:r>
        <w:rPr>
          <w:rFonts w:hint="eastAsia" w:hAnsi="宋体" w:eastAsia="宋体" w:cs="宋体"/>
          <w:kern w:val="2"/>
          <w:szCs w:val="22"/>
          <w:highlight w:val="none"/>
        </w:rPr>
        <w:t>年</w:t>
      </w:r>
      <w:r>
        <w:rPr>
          <w:rFonts w:hint="eastAsia" w:hAnsi="宋体" w:eastAsia="宋体" w:cs="宋体"/>
          <w:kern w:val="2"/>
          <w:szCs w:val="22"/>
          <w:highlight w:val="none"/>
          <w:u w:val="single"/>
        </w:rPr>
        <w:t xml:space="preserve">     </w:t>
      </w:r>
      <w:r>
        <w:rPr>
          <w:rFonts w:hint="eastAsia" w:hAnsi="宋体" w:eastAsia="宋体" w:cs="宋体"/>
          <w:kern w:val="2"/>
          <w:szCs w:val="22"/>
          <w:highlight w:val="none"/>
        </w:rPr>
        <w:t>月</w:t>
      </w:r>
      <w:r>
        <w:rPr>
          <w:rFonts w:hint="eastAsia" w:hAnsi="宋体" w:eastAsia="宋体" w:cs="宋体"/>
          <w:kern w:val="2"/>
          <w:szCs w:val="22"/>
          <w:highlight w:val="none"/>
          <w:u w:val="single"/>
        </w:rPr>
        <w:t xml:space="preserve">     </w:t>
      </w:r>
      <w:r>
        <w:rPr>
          <w:rFonts w:hint="eastAsia" w:hAnsi="宋体" w:eastAsia="宋体" w:cs="宋体"/>
          <w:kern w:val="2"/>
          <w:szCs w:val="22"/>
          <w:highlight w:val="none"/>
        </w:rPr>
        <w:t>日</w:t>
      </w:r>
    </w:p>
    <w:p w14:paraId="7412E3FA">
      <w:pPr>
        <w:pageBreakBefore w:val="0"/>
        <w:kinsoku/>
        <w:overflowPunct/>
        <w:topLinePunct w:val="0"/>
        <w:bidi w:val="0"/>
        <w:spacing w:line="520" w:lineRule="exact"/>
        <w:jc w:val="center"/>
        <w:outlineLvl w:val="9"/>
        <w:rPr>
          <w:rFonts w:ascii="宋体" w:hAnsi="宋体" w:cs="宋体"/>
          <w:sz w:val="24"/>
          <w:highlight w:val="none"/>
        </w:rPr>
      </w:pPr>
    </w:p>
    <w:p w14:paraId="5996D06E">
      <w:pPr>
        <w:pageBreakBefore w:val="0"/>
        <w:kinsoku/>
        <w:overflowPunct/>
        <w:topLinePunct w:val="0"/>
        <w:bidi w:val="0"/>
        <w:spacing w:line="520" w:lineRule="exact"/>
        <w:jc w:val="right"/>
        <w:outlineLvl w:val="9"/>
        <w:rPr>
          <w:rFonts w:ascii="宋体" w:hAnsi="宋体" w:cs="宋体"/>
          <w:sz w:val="24"/>
          <w:highlight w:val="none"/>
        </w:rPr>
      </w:pPr>
    </w:p>
    <w:p w14:paraId="160FAD6E">
      <w:pPr>
        <w:pageBreakBefore w:val="0"/>
        <w:kinsoku/>
        <w:overflowPunct/>
        <w:topLinePunct w:val="0"/>
        <w:bidi w:val="0"/>
        <w:spacing w:line="520" w:lineRule="exact"/>
        <w:jc w:val="right"/>
        <w:outlineLvl w:val="9"/>
        <w:rPr>
          <w:rFonts w:ascii="宋体" w:hAnsi="宋体" w:cs="宋体"/>
          <w:sz w:val="24"/>
          <w:highlight w:val="none"/>
        </w:rPr>
      </w:pPr>
    </w:p>
    <w:p w14:paraId="0B9F8F38">
      <w:pPr>
        <w:pageBreakBefore w:val="0"/>
        <w:kinsoku/>
        <w:overflowPunct/>
        <w:topLinePunct w:val="0"/>
        <w:bidi w:val="0"/>
        <w:spacing w:line="520" w:lineRule="exact"/>
        <w:jc w:val="right"/>
        <w:outlineLvl w:val="9"/>
        <w:rPr>
          <w:rFonts w:ascii="宋体" w:hAnsi="宋体" w:cs="宋体"/>
          <w:sz w:val="24"/>
          <w:highlight w:val="none"/>
        </w:rPr>
      </w:pPr>
    </w:p>
    <w:p w14:paraId="544C496A">
      <w:pPr>
        <w:pageBreakBefore w:val="0"/>
        <w:kinsoku/>
        <w:overflowPunct/>
        <w:topLinePunct w:val="0"/>
        <w:bidi w:val="0"/>
        <w:spacing w:line="520" w:lineRule="exact"/>
        <w:jc w:val="right"/>
        <w:outlineLvl w:val="9"/>
        <w:rPr>
          <w:rFonts w:ascii="宋体" w:hAnsi="宋体" w:cs="宋体"/>
          <w:sz w:val="24"/>
          <w:highlight w:val="none"/>
        </w:rPr>
      </w:pPr>
    </w:p>
    <w:p w14:paraId="66E77A83">
      <w:pPr>
        <w:pageBreakBefore w:val="0"/>
        <w:kinsoku/>
        <w:overflowPunct/>
        <w:topLinePunct w:val="0"/>
        <w:bidi w:val="0"/>
        <w:spacing w:line="520" w:lineRule="exact"/>
        <w:jc w:val="right"/>
        <w:outlineLvl w:val="9"/>
        <w:rPr>
          <w:rFonts w:ascii="宋体" w:hAnsi="宋体" w:cs="宋体"/>
          <w:sz w:val="24"/>
          <w:highlight w:val="none"/>
        </w:rPr>
      </w:pPr>
    </w:p>
    <w:p w14:paraId="108A99E6">
      <w:pPr>
        <w:pageBreakBefore w:val="0"/>
        <w:kinsoku/>
        <w:overflowPunct/>
        <w:topLinePunct w:val="0"/>
        <w:bidi w:val="0"/>
        <w:spacing w:line="520" w:lineRule="exact"/>
        <w:jc w:val="right"/>
        <w:outlineLvl w:val="9"/>
        <w:rPr>
          <w:rFonts w:ascii="宋体" w:hAnsi="宋体" w:cs="宋体"/>
          <w:sz w:val="24"/>
          <w:highlight w:val="none"/>
        </w:rPr>
      </w:pPr>
    </w:p>
    <w:p w14:paraId="1452998C">
      <w:pPr>
        <w:pageBreakBefore w:val="0"/>
        <w:kinsoku/>
        <w:overflowPunct/>
        <w:topLinePunct w:val="0"/>
        <w:bidi w:val="0"/>
        <w:spacing w:line="360" w:lineRule="auto"/>
        <w:ind w:firstLine="200"/>
        <w:outlineLvl w:val="9"/>
        <w:rPr>
          <w:rFonts w:hint="eastAsia" w:ascii="宋体" w:hAnsi="宋体" w:eastAsia="宋体" w:cs="宋体"/>
          <w:sz w:val="24"/>
          <w:szCs w:val="24"/>
          <w:highlight w:val="none"/>
        </w:rPr>
      </w:pPr>
    </w:p>
    <w:p w14:paraId="2A88F7B3">
      <w:pPr>
        <w:pageBreakBefore w:val="0"/>
        <w:kinsoku/>
        <w:overflowPunct/>
        <w:topLinePunct w:val="0"/>
        <w:autoSpaceDE w:val="0"/>
        <w:autoSpaceDN w:val="0"/>
        <w:bidi w:val="0"/>
        <w:spacing w:line="360" w:lineRule="auto"/>
        <w:ind w:firstLine="200"/>
        <w:outlineLvl w:val="9"/>
        <w:rPr>
          <w:rFonts w:hint="eastAsia" w:ascii="宋体" w:hAnsi="宋体" w:eastAsia="宋体" w:cs="宋体"/>
          <w:sz w:val="24"/>
          <w:szCs w:val="24"/>
          <w:highlight w:val="none"/>
        </w:rPr>
      </w:pPr>
    </w:p>
    <w:p w14:paraId="0F8E9094">
      <w:pPr>
        <w:pageBreakBefore w:val="0"/>
        <w:widowControl/>
        <w:kinsoku/>
        <w:overflowPunct/>
        <w:topLinePunct w:val="0"/>
        <w:bidi w:val="0"/>
        <w:jc w:val="left"/>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4D043AC5">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lang w:eastAsia="zh-CN"/>
        </w:rPr>
        <w:t>四、</w:t>
      </w:r>
      <w:r>
        <w:rPr>
          <w:rFonts w:hint="eastAsia" w:ascii="宋体" w:hAnsi="宋体" w:eastAsia="宋体" w:cs="宋体"/>
          <w:b/>
          <w:bCs/>
          <w:sz w:val="32"/>
          <w:szCs w:val="32"/>
          <w:highlight w:val="none"/>
        </w:rPr>
        <w:t>已标价工程量清单</w:t>
      </w:r>
    </w:p>
    <w:p w14:paraId="1D426F80">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4119AC2B">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7B4E5642">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6D8B6CE6">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09942330">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59C12FA9">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26D1D4ED">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37FD0165">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5237F9B1">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60599675">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60446E4A">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180A957D">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799994CF">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3BD705C8">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56F25717">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2FAEE062">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56B3BCD1">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5631CEEE">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2FBC1B2E">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14E888AB">
      <w:pPr>
        <w:pageBreakBefore w:val="0"/>
        <w:kinsoku/>
        <w:overflowPunct/>
        <w:topLinePunct w:val="0"/>
        <w:bidi w:val="0"/>
        <w:spacing w:line="360" w:lineRule="auto"/>
        <w:jc w:val="both"/>
        <w:outlineLvl w:val="9"/>
        <w:rPr>
          <w:rFonts w:hint="eastAsia" w:ascii="宋体" w:hAnsi="宋体" w:eastAsia="宋体" w:cs="宋体"/>
          <w:b/>
          <w:bCs/>
          <w:sz w:val="32"/>
          <w:szCs w:val="32"/>
          <w:highlight w:val="none"/>
        </w:rPr>
      </w:pPr>
    </w:p>
    <w:p w14:paraId="29533D90">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t>五、施工组织设计</w:t>
      </w:r>
    </w:p>
    <w:p w14:paraId="4CAA076F">
      <w:pPr>
        <w:pageBreakBefore w:val="0"/>
        <w:kinsoku/>
        <w:overflowPunct/>
        <w:topLinePunct w:val="0"/>
        <w:bidi w:val="0"/>
        <w:spacing w:line="480" w:lineRule="auto"/>
        <w:outlineLvl w:val="9"/>
        <w:rPr>
          <w:rFonts w:hint="default" w:ascii="宋体" w:hAnsi="宋体" w:cs="宋体"/>
          <w:sz w:val="24"/>
          <w:highlight w:val="none"/>
          <w:lang w:val="en-US" w:eastAsia="zh-CN"/>
        </w:rPr>
      </w:pPr>
      <w:r>
        <w:rPr>
          <w:rFonts w:hint="eastAsia" w:ascii="宋体" w:hAnsi="宋体" w:cs="宋体"/>
          <w:sz w:val="24"/>
          <w:highlight w:val="none"/>
          <w:lang w:val="en-US" w:eastAsia="zh-CN"/>
        </w:rPr>
        <w:t>施工组织设计包含但不限于以下内容：</w:t>
      </w:r>
    </w:p>
    <w:p w14:paraId="697D233E">
      <w:pPr>
        <w:pageBreakBefore w:val="0"/>
        <w:kinsoku/>
        <w:overflowPunct/>
        <w:topLinePunct w:val="0"/>
        <w:bidi w:val="0"/>
        <w:spacing w:line="480" w:lineRule="auto"/>
        <w:outlineLvl w:val="9"/>
        <w:rPr>
          <w:rFonts w:hint="eastAsia" w:ascii="宋体" w:hAnsi="宋体" w:cs="宋体"/>
          <w:sz w:val="24"/>
          <w:highlight w:val="none"/>
          <w:lang w:val="en-US" w:eastAsia="zh-CN"/>
        </w:rPr>
      </w:pPr>
      <w:r>
        <w:rPr>
          <w:rFonts w:hint="eastAsia" w:ascii="宋体" w:hAnsi="宋体" w:cs="宋体"/>
          <w:sz w:val="24"/>
          <w:highlight w:val="none"/>
          <w:lang w:val="en-US" w:eastAsia="zh-CN"/>
        </w:rPr>
        <w:t>1.</w:t>
      </w:r>
      <w:r>
        <w:rPr>
          <w:rFonts w:hint="eastAsia" w:ascii="宋体" w:hAnsi="宋体" w:eastAsia="宋体" w:cs="宋体"/>
          <w:sz w:val="24"/>
          <w:szCs w:val="24"/>
          <w:highlight w:val="none"/>
        </w:rPr>
        <w:t>主要施工方案与技术措施</w:t>
      </w:r>
      <w:r>
        <w:rPr>
          <w:rFonts w:hint="eastAsia" w:ascii="宋体" w:hAnsi="宋体" w:cs="宋体"/>
          <w:sz w:val="24"/>
          <w:highlight w:val="none"/>
          <w:lang w:val="en-US" w:eastAsia="zh-CN"/>
        </w:rPr>
        <w:t>；</w:t>
      </w:r>
    </w:p>
    <w:p w14:paraId="497686F6">
      <w:pPr>
        <w:pageBreakBefore w:val="0"/>
        <w:kinsoku/>
        <w:overflowPunct/>
        <w:topLinePunct w:val="0"/>
        <w:bidi w:val="0"/>
        <w:spacing w:line="480" w:lineRule="auto"/>
        <w:outlineLvl w:val="9"/>
        <w:rPr>
          <w:rFonts w:hint="eastAsia"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eastAsia="宋体" w:cs="宋体"/>
          <w:sz w:val="24"/>
          <w:szCs w:val="24"/>
          <w:highlight w:val="none"/>
        </w:rPr>
        <w:t>质量管理体系与措施</w:t>
      </w:r>
      <w:r>
        <w:rPr>
          <w:rFonts w:hint="eastAsia" w:ascii="宋体" w:hAnsi="宋体" w:cs="宋体"/>
          <w:sz w:val="24"/>
          <w:highlight w:val="none"/>
          <w:lang w:val="en-US" w:eastAsia="zh-CN"/>
        </w:rPr>
        <w:t>；</w:t>
      </w:r>
    </w:p>
    <w:p w14:paraId="4615BB2D">
      <w:pPr>
        <w:pageBreakBefore w:val="0"/>
        <w:kinsoku/>
        <w:overflowPunct/>
        <w:topLinePunct w:val="0"/>
        <w:bidi w:val="0"/>
        <w:spacing w:line="480" w:lineRule="auto"/>
        <w:outlineLvl w:val="9"/>
        <w:rPr>
          <w:rFonts w:hint="eastAsia" w:ascii="宋体" w:hAnsi="宋体" w:cs="宋体"/>
          <w:sz w:val="24"/>
          <w:highlight w:val="none"/>
          <w:lang w:val="en-US" w:eastAsia="zh-CN"/>
        </w:rPr>
      </w:pPr>
      <w:r>
        <w:rPr>
          <w:rFonts w:hint="eastAsia" w:ascii="宋体" w:hAnsi="宋体" w:cs="宋体"/>
          <w:sz w:val="24"/>
          <w:highlight w:val="none"/>
          <w:lang w:val="en-US" w:eastAsia="zh-CN"/>
        </w:rPr>
        <w:t>3.</w:t>
      </w:r>
      <w:r>
        <w:rPr>
          <w:rFonts w:hint="eastAsia" w:ascii="宋体" w:hAnsi="宋体" w:eastAsia="宋体" w:cs="宋体"/>
          <w:sz w:val="24"/>
          <w:szCs w:val="24"/>
          <w:highlight w:val="none"/>
        </w:rPr>
        <w:t>安全管理体系与措施</w:t>
      </w:r>
      <w:r>
        <w:rPr>
          <w:rFonts w:hint="eastAsia" w:ascii="宋体" w:hAnsi="宋体" w:cs="宋体"/>
          <w:sz w:val="24"/>
          <w:highlight w:val="none"/>
          <w:lang w:val="en-US" w:eastAsia="zh-CN"/>
        </w:rPr>
        <w:t>；</w:t>
      </w:r>
    </w:p>
    <w:p w14:paraId="6C5DAE9C">
      <w:pPr>
        <w:pageBreakBefore w:val="0"/>
        <w:kinsoku/>
        <w:overflowPunct/>
        <w:topLinePunct w:val="0"/>
        <w:bidi w:val="0"/>
        <w:spacing w:line="480" w:lineRule="auto"/>
        <w:outlineLvl w:val="9"/>
        <w:rPr>
          <w:rFonts w:hint="eastAsia" w:ascii="宋体" w:hAnsi="宋体" w:cs="宋体"/>
          <w:sz w:val="24"/>
          <w:highlight w:val="none"/>
          <w:lang w:val="en-US" w:eastAsia="zh-CN"/>
        </w:rPr>
      </w:pPr>
      <w:r>
        <w:rPr>
          <w:rFonts w:hint="eastAsia" w:ascii="宋体" w:hAnsi="宋体" w:cs="宋体"/>
          <w:sz w:val="24"/>
          <w:highlight w:val="none"/>
          <w:lang w:val="en-US" w:eastAsia="zh-CN"/>
        </w:rPr>
        <w:t>4.</w:t>
      </w:r>
      <w:r>
        <w:rPr>
          <w:rFonts w:hint="eastAsia" w:ascii="宋体" w:hAnsi="宋体" w:eastAsia="宋体" w:cs="宋体"/>
          <w:sz w:val="24"/>
          <w:szCs w:val="24"/>
          <w:highlight w:val="none"/>
          <w:lang w:eastAsia="zh-CN"/>
        </w:rPr>
        <w:t>文明施工、</w:t>
      </w:r>
      <w:r>
        <w:rPr>
          <w:rFonts w:hint="eastAsia" w:ascii="宋体" w:hAnsi="宋体" w:eastAsia="宋体" w:cs="宋体"/>
          <w:sz w:val="24"/>
          <w:szCs w:val="24"/>
          <w:highlight w:val="none"/>
        </w:rPr>
        <w:t>环境保护管理体系</w:t>
      </w:r>
      <w:r>
        <w:rPr>
          <w:rFonts w:hint="eastAsia" w:ascii="宋体" w:hAnsi="宋体" w:eastAsia="宋体" w:cs="宋体"/>
          <w:sz w:val="24"/>
          <w:szCs w:val="24"/>
          <w:highlight w:val="none"/>
          <w:lang w:eastAsia="zh-CN"/>
        </w:rPr>
        <w:t>及施工现场扬尘治理措施</w:t>
      </w:r>
      <w:r>
        <w:rPr>
          <w:rFonts w:hint="eastAsia" w:ascii="宋体" w:hAnsi="宋体" w:cs="宋体"/>
          <w:sz w:val="24"/>
          <w:highlight w:val="none"/>
          <w:lang w:val="en-US" w:eastAsia="zh-CN"/>
        </w:rPr>
        <w:t>；</w:t>
      </w:r>
    </w:p>
    <w:p w14:paraId="6607CB8D">
      <w:pPr>
        <w:pageBreakBefore w:val="0"/>
        <w:kinsoku/>
        <w:overflowPunct/>
        <w:topLinePunct w:val="0"/>
        <w:bidi w:val="0"/>
        <w:spacing w:line="480" w:lineRule="auto"/>
        <w:outlineLvl w:val="9"/>
        <w:rPr>
          <w:rFonts w:hint="eastAsia" w:ascii="宋体" w:hAnsi="宋体" w:cs="宋体"/>
          <w:sz w:val="24"/>
          <w:highlight w:val="none"/>
          <w:lang w:val="en-US" w:eastAsia="zh-CN"/>
        </w:rPr>
      </w:pPr>
      <w:r>
        <w:rPr>
          <w:rFonts w:hint="eastAsia" w:ascii="宋体" w:hAnsi="宋体" w:cs="宋体"/>
          <w:sz w:val="24"/>
          <w:highlight w:val="none"/>
          <w:lang w:val="en-US" w:eastAsia="zh-CN"/>
        </w:rPr>
        <w:t>5.</w:t>
      </w:r>
      <w:r>
        <w:rPr>
          <w:rFonts w:hint="eastAsia" w:ascii="宋体" w:hAnsi="宋体" w:eastAsia="宋体" w:cs="宋体"/>
          <w:sz w:val="24"/>
          <w:szCs w:val="24"/>
          <w:highlight w:val="none"/>
          <w:lang w:eastAsia="zh-CN"/>
        </w:rPr>
        <w:t>工期保证</w:t>
      </w:r>
      <w:r>
        <w:rPr>
          <w:rFonts w:hint="eastAsia" w:ascii="宋体" w:hAnsi="宋体" w:eastAsia="宋体" w:cs="宋体"/>
          <w:sz w:val="24"/>
          <w:szCs w:val="24"/>
          <w:highlight w:val="none"/>
        </w:rPr>
        <w:t>措施</w:t>
      </w:r>
      <w:r>
        <w:rPr>
          <w:rFonts w:hint="eastAsia" w:ascii="宋体" w:hAnsi="宋体" w:cs="宋体"/>
          <w:sz w:val="24"/>
          <w:highlight w:val="none"/>
          <w:lang w:val="en-US" w:eastAsia="zh-CN"/>
        </w:rPr>
        <w:t>；</w:t>
      </w:r>
    </w:p>
    <w:p w14:paraId="7D44B892">
      <w:pPr>
        <w:pageBreakBefore w:val="0"/>
        <w:kinsoku/>
        <w:overflowPunct/>
        <w:topLinePunct w:val="0"/>
        <w:bidi w:val="0"/>
        <w:spacing w:line="480" w:lineRule="auto"/>
        <w:outlineLvl w:val="9"/>
        <w:rPr>
          <w:rFonts w:hint="eastAsia" w:ascii="宋体" w:hAnsi="宋体" w:cs="宋体"/>
          <w:sz w:val="24"/>
          <w:highlight w:val="none"/>
          <w:lang w:val="en-US" w:eastAsia="zh-CN"/>
        </w:rPr>
      </w:pPr>
      <w:r>
        <w:rPr>
          <w:rFonts w:hint="eastAsia" w:ascii="宋体" w:hAnsi="宋体" w:cs="宋体"/>
          <w:sz w:val="24"/>
          <w:highlight w:val="none"/>
          <w:lang w:val="en-US" w:eastAsia="zh-CN"/>
        </w:rPr>
        <w:t>6.</w:t>
      </w:r>
      <w:r>
        <w:rPr>
          <w:rFonts w:hint="eastAsia" w:ascii="宋体" w:hAnsi="宋体" w:eastAsia="宋体" w:cs="宋体"/>
          <w:sz w:val="24"/>
          <w:szCs w:val="24"/>
          <w:highlight w:val="none"/>
          <w:lang w:eastAsia="zh-CN"/>
        </w:rPr>
        <w:t>施工进度表与网络计划图</w:t>
      </w:r>
      <w:r>
        <w:rPr>
          <w:rFonts w:hint="eastAsia" w:ascii="宋体" w:hAnsi="宋体" w:cs="宋体"/>
          <w:sz w:val="24"/>
          <w:highlight w:val="none"/>
          <w:lang w:val="en-US" w:eastAsia="zh-CN"/>
        </w:rPr>
        <w:t>；</w:t>
      </w:r>
    </w:p>
    <w:p w14:paraId="4360C7FF">
      <w:pPr>
        <w:pageBreakBefore w:val="0"/>
        <w:kinsoku/>
        <w:overflowPunct/>
        <w:topLinePunct w:val="0"/>
        <w:bidi w:val="0"/>
        <w:spacing w:line="480" w:lineRule="auto"/>
        <w:outlineLvl w:val="9"/>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7.</w:t>
      </w:r>
      <w:r>
        <w:rPr>
          <w:rFonts w:hint="eastAsia" w:ascii="宋体" w:hAnsi="宋体" w:eastAsia="宋体" w:cs="宋体"/>
          <w:sz w:val="24"/>
          <w:szCs w:val="24"/>
          <w:highlight w:val="none"/>
          <w:lang w:eastAsia="zh-CN"/>
        </w:rPr>
        <w:t>拟投入</w:t>
      </w:r>
      <w:r>
        <w:rPr>
          <w:rFonts w:hint="eastAsia" w:ascii="宋体" w:hAnsi="宋体" w:eastAsia="宋体" w:cs="宋体"/>
          <w:sz w:val="24"/>
          <w:szCs w:val="24"/>
          <w:highlight w:val="none"/>
        </w:rPr>
        <w:t>资源配备计划</w:t>
      </w:r>
      <w:r>
        <w:rPr>
          <w:rFonts w:hint="eastAsia" w:ascii="宋体" w:hAnsi="宋体" w:eastAsia="宋体" w:cs="宋体"/>
          <w:sz w:val="24"/>
          <w:szCs w:val="24"/>
          <w:highlight w:val="none"/>
          <w:lang w:val="en-US" w:eastAsia="zh-CN"/>
        </w:rPr>
        <w:t>;</w:t>
      </w:r>
    </w:p>
    <w:p w14:paraId="3110968E">
      <w:pPr>
        <w:pageBreakBefore w:val="0"/>
        <w:kinsoku/>
        <w:overflowPunct/>
        <w:topLinePunct w:val="0"/>
        <w:bidi w:val="0"/>
        <w:spacing w:line="360" w:lineRule="auto"/>
        <w:jc w:val="both"/>
        <w:outlineLvl w:val="9"/>
        <w:rPr>
          <w:rFonts w:hint="eastAsia" w:ascii="宋体" w:hAnsi="宋体" w:cs="宋体"/>
          <w:sz w:val="24"/>
          <w:szCs w:val="24"/>
          <w:highlight w:val="none"/>
          <w:lang w:eastAsia="zh-CN"/>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风险管理措施</w:t>
      </w:r>
    </w:p>
    <w:p w14:paraId="76661136">
      <w:pPr>
        <w:rPr>
          <w:rFonts w:hint="default"/>
          <w:highlight w:val="none"/>
          <w:lang w:val="en-US" w:eastAsia="zh-CN"/>
        </w:rPr>
      </w:pPr>
    </w:p>
    <w:p w14:paraId="62B854C8">
      <w:pPr>
        <w:pageBreakBefore w:val="0"/>
        <w:kinsoku/>
        <w:overflowPunct/>
        <w:topLinePunct w:val="0"/>
        <w:bidi w:val="0"/>
        <w:spacing w:line="360" w:lineRule="auto"/>
        <w:ind w:firstLine="200"/>
        <w:outlineLvl w:val="9"/>
        <w:rPr>
          <w:rFonts w:hint="eastAsia" w:ascii="宋体" w:hAnsi="宋体" w:eastAsia="宋体" w:cs="宋体"/>
          <w:bCs/>
          <w:sz w:val="24"/>
          <w:szCs w:val="24"/>
          <w:highlight w:val="none"/>
        </w:rPr>
      </w:pPr>
    </w:p>
    <w:p w14:paraId="6867B7A1">
      <w:pPr>
        <w:pageBreakBefore w:val="0"/>
        <w:kinsoku/>
        <w:overflowPunct/>
        <w:topLinePunct w:val="0"/>
        <w:bidi w:val="0"/>
        <w:spacing w:line="360" w:lineRule="auto"/>
        <w:ind w:firstLine="200"/>
        <w:outlineLvl w:val="9"/>
        <w:rPr>
          <w:rFonts w:hint="eastAsia" w:ascii="宋体" w:hAnsi="宋体" w:eastAsia="宋体" w:cs="宋体"/>
          <w:bCs/>
          <w:sz w:val="24"/>
          <w:szCs w:val="24"/>
          <w:highlight w:val="none"/>
        </w:rPr>
      </w:pPr>
    </w:p>
    <w:p w14:paraId="637034F6">
      <w:pPr>
        <w:pageBreakBefore w:val="0"/>
        <w:kinsoku/>
        <w:overflowPunct/>
        <w:topLinePunct w:val="0"/>
        <w:bidi w:val="0"/>
        <w:spacing w:line="360" w:lineRule="auto"/>
        <w:ind w:firstLine="200"/>
        <w:outlineLvl w:val="9"/>
        <w:rPr>
          <w:rFonts w:hint="eastAsia" w:ascii="宋体" w:hAnsi="宋体" w:eastAsia="宋体" w:cs="宋体"/>
          <w:bCs/>
          <w:sz w:val="24"/>
          <w:szCs w:val="24"/>
          <w:highlight w:val="none"/>
        </w:rPr>
      </w:pPr>
    </w:p>
    <w:p w14:paraId="6E177571">
      <w:pPr>
        <w:pageBreakBefore w:val="0"/>
        <w:kinsoku/>
        <w:overflowPunct/>
        <w:topLinePunct w:val="0"/>
        <w:bidi w:val="0"/>
        <w:spacing w:line="360" w:lineRule="auto"/>
        <w:ind w:firstLine="200"/>
        <w:outlineLvl w:val="9"/>
        <w:rPr>
          <w:rFonts w:hint="eastAsia" w:ascii="宋体" w:hAnsi="宋体" w:eastAsia="宋体" w:cs="宋体"/>
          <w:bCs/>
          <w:sz w:val="24"/>
          <w:szCs w:val="24"/>
          <w:highlight w:val="none"/>
        </w:rPr>
      </w:pPr>
    </w:p>
    <w:p w14:paraId="37FB0CE1">
      <w:pPr>
        <w:pageBreakBefore w:val="0"/>
        <w:kinsoku/>
        <w:overflowPunct/>
        <w:topLinePunct w:val="0"/>
        <w:bidi w:val="0"/>
        <w:spacing w:line="360" w:lineRule="auto"/>
        <w:ind w:firstLine="200"/>
        <w:outlineLvl w:val="9"/>
        <w:rPr>
          <w:rFonts w:hint="eastAsia" w:ascii="宋体" w:hAnsi="宋体" w:eastAsia="宋体" w:cs="宋体"/>
          <w:bCs/>
          <w:sz w:val="24"/>
          <w:szCs w:val="24"/>
          <w:highlight w:val="none"/>
        </w:rPr>
      </w:pPr>
    </w:p>
    <w:p w14:paraId="7E7572E8">
      <w:pPr>
        <w:pageBreakBefore w:val="0"/>
        <w:kinsoku/>
        <w:overflowPunct/>
        <w:topLinePunct w:val="0"/>
        <w:bidi w:val="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15F9077A">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六</w:t>
      </w:r>
      <w:r>
        <w:rPr>
          <w:rFonts w:hint="eastAsia" w:ascii="宋体" w:hAnsi="宋体" w:eastAsia="宋体" w:cs="宋体"/>
          <w:b/>
          <w:bCs/>
          <w:sz w:val="32"/>
          <w:szCs w:val="32"/>
          <w:highlight w:val="none"/>
          <w:lang w:eastAsia="zh-CN"/>
        </w:rPr>
        <w:t>、</w:t>
      </w:r>
      <w:r>
        <w:rPr>
          <w:rFonts w:hint="eastAsia" w:ascii="宋体" w:hAnsi="宋体" w:eastAsia="宋体" w:cs="宋体"/>
          <w:b/>
          <w:bCs/>
          <w:sz w:val="32"/>
          <w:szCs w:val="32"/>
          <w:highlight w:val="none"/>
        </w:rPr>
        <w:t>项目管理机构</w:t>
      </w:r>
    </w:p>
    <w:p w14:paraId="012EC879">
      <w:pPr>
        <w:pageBreakBefore w:val="0"/>
        <w:kinsoku/>
        <w:overflowPunct/>
        <w:topLinePunct w:val="0"/>
        <w:bidi w:val="0"/>
        <w:spacing w:afterLines="100" w:line="420" w:lineRule="exact"/>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（一）项目管理机构组成表</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11"/>
        <w:gridCol w:w="711"/>
        <w:gridCol w:w="1137"/>
        <w:gridCol w:w="772"/>
        <w:gridCol w:w="789"/>
        <w:gridCol w:w="852"/>
        <w:gridCol w:w="1832"/>
        <w:gridCol w:w="1007"/>
      </w:tblGrid>
      <w:tr w14:paraId="0DCC7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vMerge w:val="restart"/>
            <w:tcBorders>
              <w:top w:val="single" w:color="auto" w:sz="4" w:space="0"/>
              <w:left w:val="single" w:color="auto" w:sz="4" w:space="0"/>
              <w:bottom w:val="single" w:color="auto" w:sz="4" w:space="0"/>
              <w:right w:val="single" w:color="auto" w:sz="4" w:space="0"/>
            </w:tcBorders>
            <w:vAlign w:val="center"/>
          </w:tcPr>
          <w:p w14:paraId="13C08B05">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职务</w:t>
            </w:r>
          </w:p>
        </w:tc>
        <w:tc>
          <w:tcPr>
            <w:tcW w:w="417" w:type="pct"/>
            <w:vMerge w:val="restart"/>
            <w:tcBorders>
              <w:top w:val="single" w:color="auto" w:sz="4" w:space="0"/>
              <w:left w:val="nil"/>
              <w:bottom w:val="single" w:color="auto" w:sz="4" w:space="0"/>
              <w:right w:val="single" w:color="auto" w:sz="4" w:space="0"/>
            </w:tcBorders>
            <w:vAlign w:val="center"/>
          </w:tcPr>
          <w:p w14:paraId="6E91F002">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417" w:type="pct"/>
            <w:vMerge w:val="restart"/>
            <w:tcBorders>
              <w:top w:val="single" w:color="auto" w:sz="4" w:space="0"/>
              <w:left w:val="nil"/>
              <w:bottom w:val="single" w:color="auto" w:sz="4" w:space="0"/>
              <w:right w:val="single" w:color="auto" w:sz="4" w:space="0"/>
            </w:tcBorders>
            <w:vAlign w:val="center"/>
          </w:tcPr>
          <w:p w14:paraId="0CC2CA2F">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职称</w:t>
            </w:r>
          </w:p>
        </w:tc>
        <w:tc>
          <w:tcPr>
            <w:tcW w:w="3158" w:type="pct"/>
            <w:gridSpan w:val="5"/>
            <w:tcBorders>
              <w:top w:val="single" w:color="auto" w:sz="4" w:space="0"/>
              <w:left w:val="nil"/>
              <w:bottom w:val="single" w:color="auto" w:sz="4" w:space="0"/>
              <w:right w:val="single" w:color="auto" w:sz="4" w:space="0"/>
            </w:tcBorders>
            <w:vAlign w:val="center"/>
          </w:tcPr>
          <w:p w14:paraId="1325B5E6">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执业或职业资格证明</w:t>
            </w:r>
          </w:p>
        </w:tc>
        <w:tc>
          <w:tcPr>
            <w:tcW w:w="592" w:type="pct"/>
            <w:vMerge w:val="restart"/>
            <w:tcBorders>
              <w:top w:val="single" w:color="auto" w:sz="4" w:space="0"/>
              <w:left w:val="nil"/>
              <w:bottom w:val="single" w:color="auto" w:sz="4" w:space="0"/>
              <w:right w:val="single" w:color="auto" w:sz="4" w:space="0"/>
            </w:tcBorders>
            <w:vAlign w:val="center"/>
          </w:tcPr>
          <w:p w14:paraId="692FECF5">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14:paraId="426AD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76B2A71">
            <w:pPr>
              <w:pageBreakBefore w:val="0"/>
              <w:widowControl/>
              <w:kinsoku/>
              <w:overflowPunct/>
              <w:topLinePunct w:val="0"/>
              <w:bidi w:val="0"/>
              <w:jc w:val="left"/>
              <w:outlineLvl w:val="9"/>
              <w:rPr>
                <w:rFonts w:hint="eastAsia" w:ascii="宋体" w:hAnsi="宋体" w:eastAsia="宋体" w:cs="宋体"/>
                <w:sz w:val="24"/>
                <w:szCs w:val="24"/>
                <w:highlight w:val="none"/>
              </w:rPr>
            </w:pPr>
          </w:p>
        </w:tc>
        <w:tc>
          <w:tcPr>
            <w:tcW w:w="0" w:type="auto"/>
            <w:vMerge w:val="continue"/>
            <w:tcBorders>
              <w:top w:val="single" w:color="auto" w:sz="4" w:space="0"/>
              <w:left w:val="nil"/>
              <w:bottom w:val="single" w:color="auto" w:sz="4" w:space="0"/>
              <w:right w:val="single" w:color="auto" w:sz="4" w:space="0"/>
            </w:tcBorders>
            <w:vAlign w:val="center"/>
          </w:tcPr>
          <w:p w14:paraId="3CA7D991">
            <w:pPr>
              <w:pageBreakBefore w:val="0"/>
              <w:widowControl/>
              <w:kinsoku/>
              <w:overflowPunct/>
              <w:topLinePunct w:val="0"/>
              <w:bidi w:val="0"/>
              <w:jc w:val="left"/>
              <w:outlineLvl w:val="9"/>
              <w:rPr>
                <w:rFonts w:hint="eastAsia" w:ascii="宋体" w:hAnsi="宋体" w:eastAsia="宋体" w:cs="宋体"/>
                <w:sz w:val="24"/>
                <w:szCs w:val="24"/>
                <w:highlight w:val="none"/>
              </w:rPr>
            </w:pPr>
          </w:p>
        </w:tc>
        <w:tc>
          <w:tcPr>
            <w:tcW w:w="0" w:type="auto"/>
            <w:vMerge w:val="continue"/>
            <w:tcBorders>
              <w:top w:val="single" w:color="auto" w:sz="4" w:space="0"/>
              <w:left w:val="nil"/>
              <w:bottom w:val="single" w:color="auto" w:sz="4" w:space="0"/>
              <w:right w:val="single" w:color="auto" w:sz="4" w:space="0"/>
            </w:tcBorders>
            <w:vAlign w:val="center"/>
          </w:tcPr>
          <w:p w14:paraId="79338ED5">
            <w:pPr>
              <w:pageBreakBefore w:val="0"/>
              <w:widowControl/>
              <w:kinsoku/>
              <w:overflowPunct/>
              <w:topLinePunct w:val="0"/>
              <w:bidi w:val="0"/>
              <w:jc w:val="left"/>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1CA51ABC">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证书名称</w:t>
            </w:r>
          </w:p>
        </w:tc>
        <w:tc>
          <w:tcPr>
            <w:tcW w:w="453" w:type="pct"/>
            <w:tcBorders>
              <w:top w:val="single" w:color="auto" w:sz="4" w:space="0"/>
              <w:left w:val="nil"/>
              <w:bottom w:val="single" w:color="auto" w:sz="4" w:space="0"/>
              <w:right w:val="single" w:color="auto" w:sz="4" w:space="0"/>
            </w:tcBorders>
            <w:vAlign w:val="center"/>
          </w:tcPr>
          <w:p w14:paraId="287D0845">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级别</w:t>
            </w:r>
          </w:p>
        </w:tc>
        <w:tc>
          <w:tcPr>
            <w:tcW w:w="463" w:type="pct"/>
            <w:tcBorders>
              <w:top w:val="single" w:color="auto" w:sz="4" w:space="0"/>
              <w:left w:val="nil"/>
              <w:bottom w:val="single" w:color="auto" w:sz="4" w:space="0"/>
              <w:right w:val="single" w:color="auto" w:sz="4" w:space="0"/>
            </w:tcBorders>
            <w:vAlign w:val="center"/>
          </w:tcPr>
          <w:p w14:paraId="18F9C98F">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证号</w:t>
            </w:r>
          </w:p>
        </w:tc>
        <w:tc>
          <w:tcPr>
            <w:tcW w:w="500" w:type="pct"/>
            <w:tcBorders>
              <w:top w:val="single" w:color="auto" w:sz="4" w:space="0"/>
              <w:left w:val="nil"/>
              <w:bottom w:val="single" w:color="auto" w:sz="4" w:space="0"/>
              <w:right w:val="single" w:color="auto" w:sz="4" w:space="0"/>
            </w:tcBorders>
            <w:vAlign w:val="center"/>
          </w:tcPr>
          <w:p w14:paraId="4E813396">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专业</w:t>
            </w:r>
          </w:p>
        </w:tc>
        <w:tc>
          <w:tcPr>
            <w:tcW w:w="1075" w:type="pct"/>
            <w:tcBorders>
              <w:top w:val="single" w:color="auto" w:sz="4" w:space="0"/>
              <w:left w:val="nil"/>
              <w:bottom w:val="single" w:color="auto" w:sz="4" w:space="0"/>
              <w:right w:val="single" w:color="auto" w:sz="4" w:space="0"/>
            </w:tcBorders>
            <w:vAlign w:val="center"/>
          </w:tcPr>
          <w:p w14:paraId="6CA0BD98">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养老保险</w:t>
            </w:r>
          </w:p>
        </w:tc>
        <w:tc>
          <w:tcPr>
            <w:tcW w:w="0" w:type="auto"/>
            <w:vMerge w:val="continue"/>
            <w:tcBorders>
              <w:top w:val="single" w:color="auto" w:sz="4" w:space="0"/>
              <w:left w:val="nil"/>
              <w:bottom w:val="single" w:color="auto" w:sz="4" w:space="0"/>
              <w:right w:val="single" w:color="auto" w:sz="4" w:space="0"/>
            </w:tcBorders>
            <w:vAlign w:val="center"/>
          </w:tcPr>
          <w:p w14:paraId="7E8DCD47">
            <w:pPr>
              <w:pageBreakBefore w:val="0"/>
              <w:widowControl/>
              <w:kinsoku/>
              <w:overflowPunct/>
              <w:topLinePunct w:val="0"/>
              <w:bidi w:val="0"/>
              <w:jc w:val="left"/>
              <w:outlineLvl w:val="9"/>
              <w:rPr>
                <w:rFonts w:hint="eastAsia" w:ascii="宋体" w:hAnsi="宋体" w:eastAsia="宋体" w:cs="宋体"/>
                <w:sz w:val="24"/>
                <w:szCs w:val="24"/>
                <w:highlight w:val="none"/>
              </w:rPr>
            </w:pPr>
          </w:p>
        </w:tc>
      </w:tr>
      <w:tr w14:paraId="65D3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1B521002">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19FEF337">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5AD4AB61">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1A1D8E40">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0B556C27">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5C2E8F18">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121D7FCD">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51E6950F">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7527EC71">
            <w:pPr>
              <w:pageBreakBefore w:val="0"/>
              <w:kinsoku/>
              <w:overflowPunct/>
              <w:topLinePunct w:val="0"/>
              <w:bidi w:val="0"/>
              <w:jc w:val="center"/>
              <w:outlineLvl w:val="9"/>
              <w:rPr>
                <w:rFonts w:hint="eastAsia" w:ascii="宋体" w:hAnsi="宋体" w:eastAsia="宋体" w:cs="宋体"/>
                <w:sz w:val="24"/>
                <w:szCs w:val="24"/>
                <w:highlight w:val="none"/>
              </w:rPr>
            </w:pPr>
          </w:p>
        </w:tc>
      </w:tr>
      <w:tr w14:paraId="150DC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661434A0">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03FC5F68">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5AD7F2E4">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5183512B">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4CC5BF87">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4C18DEE4">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0C72FE68">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1E71F95B">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01FBD7E3">
            <w:pPr>
              <w:pageBreakBefore w:val="0"/>
              <w:kinsoku/>
              <w:overflowPunct/>
              <w:topLinePunct w:val="0"/>
              <w:bidi w:val="0"/>
              <w:jc w:val="center"/>
              <w:outlineLvl w:val="9"/>
              <w:rPr>
                <w:rFonts w:hint="eastAsia" w:ascii="宋体" w:hAnsi="宋体" w:eastAsia="宋体" w:cs="宋体"/>
                <w:sz w:val="24"/>
                <w:szCs w:val="24"/>
                <w:highlight w:val="none"/>
              </w:rPr>
            </w:pPr>
          </w:p>
        </w:tc>
      </w:tr>
      <w:tr w14:paraId="1642A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043B3DD1">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5AB53160">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07BF8C4E">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19A45F1F">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3BA591F0">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1F83028D">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46EAE0FA">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49BB79AC">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1968E75A">
            <w:pPr>
              <w:pageBreakBefore w:val="0"/>
              <w:kinsoku/>
              <w:overflowPunct/>
              <w:topLinePunct w:val="0"/>
              <w:bidi w:val="0"/>
              <w:jc w:val="center"/>
              <w:outlineLvl w:val="9"/>
              <w:rPr>
                <w:rFonts w:hint="eastAsia" w:ascii="宋体" w:hAnsi="宋体" w:eastAsia="宋体" w:cs="宋体"/>
                <w:sz w:val="24"/>
                <w:szCs w:val="24"/>
                <w:highlight w:val="none"/>
              </w:rPr>
            </w:pPr>
          </w:p>
        </w:tc>
      </w:tr>
      <w:tr w14:paraId="06C9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0A36728C">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4FAE56DF">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6AB21FFC">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2774B0AE">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5D9D940B">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1F552934">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378C85AC">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6DF2AE34">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26DB2587">
            <w:pPr>
              <w:pageBreakBefore w:val="0"/>
              <w:kinsoku/>
              <w:overflowPunct/>
              <w:topLinePunct w:val="0"/>
              <w:bidi w:val="0"/>
              <w:jc w:val="center"/>
              <w:outlineLvl w:val="9"/>
              <w:rPr>
                <w:rFonts w:hint="eastAsia" w:ascii="宋体" w:hAnsi="宋体" w:eastAsia="宋体" w:cs="宋体"/>
                <w:sz w:val="24"/>
                <w:szCs w:val="24"/>
                <w:highlight w:val="none"/>
              </w:rPr>
            </w:pPr>
          </w:p>
        </w:tc>
      </w:tr>
      <w:tr w14:paraId="271C6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03F8A09C">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68186958">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63593154">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1B67C9A8">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18BB4B90">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5685FF56">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0034E54F">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48E8A1D0">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7725E92C">
            <w:pPr>
              <w:pageBreakBefore w:val="0"/>
              <w:kinsoku/>
              <w:overflowPunct/>
              <w:topLinePunct w:val="0"/>
              <w:bidi w:val="0"/>
              <w:jc w:val="center"/>
              <w:outlineLvl w:val="9"/>
              <w:rPr>
                <w:rFonts w:hint="eastAsia" w:ascii="宋体" w:hAnsi="宋体" w:eastAsia="宋体" w:cs="宋体"/>
                <w:sz w:val="24"/>
                <w:szCs w:val="24"/>
                <w:highlight w:val="none"/>
              </w:rPr>
            </w:pPr>
          </w:p>
        </w:tc>
      </w:tr>
      <w:tr w14:paraId="422E9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0ECD4F6C">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0810AAC8">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21D907E6">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29351F12">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700E7391">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2F1B658B">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5A41AA97">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5E6A35B9">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628B9ED2">
            <w:pPr>
              <w:pageBreakBefore w:val="0"/>
              <w:kinsoku/>
              <w:overflowPunct/>
              <w:topLinePunct w:val="0"/>
              <w:bidi w:val="0"/>
              <w:jc w:val="center"/>
              <w:outlineLvl w:val="9"/>
              <w:rPr>
                <w:rFonts w:hint="eastAsia" w:ascii="宋体" w:hAnsi="宋体" w:eastAsia="宋体" w:cs="宋体"/>
                <w:sz w:val="24"/>
                <w:szCs w:val="24"/>
                <w:highlight w:val="none"/>
              </w:rPr>
            </w:pPr>
          </w:p>
        </w:tc>
      </w:tr>
      <w:tr w14:paraId="268CD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2F097937">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2718F3F7">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49A02CA6">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6A3E64DC">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5FE8599C">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7320E700">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223F0C64">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105C7A45">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541135B9">
            <w:pPr>
              <w:pageBreakBefore w:val="0"/>
              <w:kinsoku/>
              <w:overflowPunct/>
              <w:topLinePunct w:val="0"/>
              <w:bidi w:val="0"/>
              <w:jc w:val="center"/>
              <w:outlineLvl w:val="9"/>
              <w:rPr>
                <w:rFonts w:hint="eastAsia" w:ascii="宋体" w:hAnsi="宋体" w:eastAsia="宋体" w:cs="宋体"/>
                <w:sz w:val="24"/>
                <w:szCs w:val="24"/>
                <w:highlight w:val="none"/>
              </w:rPr>
            </w:pPr>
          </w:p>
        </w:tc>
      </w:tr>
      <w:tr w14:paraId="6C5C8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31B1D616">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0E8328E6">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6116277C">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43AD3B06">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4212BEE9">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07AB0CC4">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00B27914">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018D0B52">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30B2BB88">
            <w:pPr>
              <w:pageBreakBefore w:val="0"/>
              <w:kinsoku/>
              <w:overflowPunct/>
              <w:topLinePunct w:val="0"/>
              <w:bidi w:val="0"/>
              <w:jc w:val="center"/>
              <w:outlineLvl w:val="9"/>
              <w:rPr>
                <w:rFonts w:hint="eastAsia" w:ascii="宋体" w:hAnsi="宋体" w:eastAsia="宋体" w:cs="宋体"/>
                <w:sz w:val="24"/>
                <w:szCs w:val="24"/>
                <w:highlight w:val="none"/>
              </w:rPr>
            </w:pPr>
          </w:p>
        </w:tc>
      </w:tr>
      <w:tr w14:paraId="303EE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68EBF4C8">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4EC0ACBB">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4DFD6A97">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7189C54E">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06920F7B">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58467C5C">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195CE6DC">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325DD948">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17E21080">
            <w:pPr>
              <w:pageBreakBefore w:val="0"/>
              <w:kinsoku/>
              <w:overflowPunct/>
              <w:topLinePunct w:val="0"/>
              <w:bidi w:val="0"/>
              <w:jc w:val="center"/>
              <w:outlineLvl w:val="9"/>
              <w:rPr>
                <w:rFonts w:hint="eastAsia" w:ascii="宋体" w:hAnsi="宋体" w:eastAsia="宋体" w:cs="宋体"/>
                <w:sz w:val="24"/>
                <w:szCs w:val="24"/>
                <w:highlight w:val="none"/>
              </w:rPr>
            </w:pPr>
          </w:p>
        </w:tc>
      </w:tr>
      <w:tr w14:paraId="7ABEA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7432766B">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13906F60">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219E17D4">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7278D1BC">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750C60E6">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18F49B83">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68781F45">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42CB741C">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0DC3F55C">
            <w:pPr>
              <w:pageBreakBefore w:val="0"/>
              <w:kinsoku/>
              <w:overflowPunct/>
              <w:topLinePunct w:val="0"/>
              <w:bidi w:val="0"/>
              <w:jc w:val="center"/>
              <w:outlineLvl w:val="9"/>
              <w:rPr>
                <w:rFonts w:hint="eastAsia" w:ascii="宋体" w:hAnsi="宋体" w:eastAsia="宋体" w:cs="宋体"/>
                <w:sz w:val="24"/>
                <w:szCs w:val="24"/>
                <w:highlight w:val="none"/>
              </w:rPr>
            </w:pPr>
          </w:p>
        </w:tc>
      </w:tr>
      <w:tr w14:paraId="16D2E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7BC93A4F">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49E2C7E1">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4ABA9B3E">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3F1B5456">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01D86BF9">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1EAA1058">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666F2D7F">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60035B8E">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73511AAB">
            <w:pPr>
              <w:pageBreakBefore w:val="0"/>
              <w:kinsoku/>
              <w:overflowPunct/>
              <w:topLinePunct w:val="0"/>
              <w:bidi w:val="0"/>
              <w:jc w:val="center"/>
              <w:outlineLvl w:val="9"/>
              <w:rPr>
                <w:rFonts w:hint="eastAsia" w:ascii="宋体" w:hAnsi="宋体" w:eastAsia="宋体" w:cs="宋体"/>
                <w:sz w:val="24"/>
                <w:szCs w:val="24"/>
                <w:highlight w:val="none"/>
              </w:rPr>
            </w:pPr>
          </w:p>
        </w:tc>
      </w:tr>
      <w:tr w14:paraId="78C15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11867A5D">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4CFE623C">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549CC8F1">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2C38C431">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7581BFC9">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1F9E545F">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308E1D19">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28F6942B">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7219E877">
            <w:pPr>
              <w:pageBreakBefore w:val="0"/>
              <w:kinsoku/>
              <w:overflowPunct/>
              <w:topLinePunct w:val="0"/>
              <w:bidi w:val="0"/>
              <w:jc w:val="center"/>
              <w:outlineLvl w:val="9"/>
              <w:rPr>
                <w:rFonts w:hint="eastAsia" w:ascii="宋体" w:hAnsi="宋体" w:eastAsia="宋体" w:cs="宋体"/>
                <w:sz w:val="24"/>
                <w:szCs w:val="24"/>
                <w:highlight w:val="none"/>
              </w:rPr>
            </w:pPr>
          </w:p>
        </w:tc>
      </w:tr>
      <w:tr w14:paraId="5F947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1EE83FA5">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6B0AF48B">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6759B151">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77E1E84B">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02FCD9BA">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28DBC0D2">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7E9F1B93">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4087F9AF">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1FAB2C85">
            <w:pPr>
              <w:pageBreakBefore w:val="0"/>
              <w:kinsoku/>
              <w:overflowPunct/>
              <w:topLinePunct w:val="0"/>
              <w:bidi w:val="0"/>
              <w:jc w:val="center"/>
              <w:outlineLvl w:val="9"/>
              <w:rPr>
                <w:rFonts w:hint="eastAsia" w:ascii="宋体" w:hAnsi="宋体" w:eastAsia="宋体" w:cs="宋体"/>
                <w:sz w:val="24"/>
                <w:szCs w:val="24"/>
                <w:highlight w:val="none"/>
              </w:rPr>
            </w:pPr>
          </w:p>
        </w:tc>
      </w:tr>
      <w:tr w14:paraId="44D64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64118660">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6ABCB124">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1D91D23B">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1E5651F5">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714C0B1D">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5B2E07E7">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6394A313">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6057AEB7">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3DE826FF">
            <w:pPr>
              <w:pageBreakBefore w:val="0"/>
              <w:kinsoku/>
              <w:overflowPunct/>
              <w:topLinePunct w:val="0"/>
              <w:bidi w:val="0"/>
              <w:jc w:val="center"/>
              <w:outlineLvl w:val="9"/>
              <w:rPr>
                <w:rFonts w:hint="eastAsia" w:ascii="宋体" w:hAnsi="宋体" w:eastAsia="宋体" w:cs="宋体"/>
                <w:sz w:val="24"/>
                <w:szCs w:val="24"/>
                <w:highlight w:val="none"/>
              </w:rPr>
            </w:pPr>
          </w:p>
        </w:tc>
      </w:tr>
      <w:tr w14:paraId="1A516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6E7A8FC9">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6B37E2A4">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2B83800F">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40DA4332">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15470D19">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6B890D9E">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5BA2A9C6">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2E61B556">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7E102AF6">
            <w:pPr>
              <w:pageBreakBefore w:val="0"/>
              <w:kinsoku/>
              <w:overflowPunct/>
              <w:topLinePunct w:val="0"/>
              <w:bidi w:val="0"/>
              <w:jc w:val="center"/>
              <w:outlineLvl w:val="9"/>
              <w:rPr>
                <w:rFonts w:hint="eastAsia" w:ascii="宋体" w:hAnsi="宋体" w:eastAsia="宋体" w:cs="宋体"/>
                <w:sz w:val="24"/>
                <w:szCs w:val="24"/>
                <w:highlight w:val="none"/>
              </w:rPr>
            </w:pPr>
          </w:p>
        </w:tc>
      </w:tr>
      <w:tr w14:paraId="63F76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27A6F305">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52774A99">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67E2674C">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711A9C9F">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4FD90BD2">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4560F04F">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4E6DEB0F">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07EF6E48">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356CEE9A">
            <w:pPr>
              <w:pageBreakBefore w:val="0"/>
              <w:kinsoku/>
              <w:overflowPunct/>
              <w:topLinePunct w:val="0"/>
              <w:bidi w:val="0"/>
              <w:jc w:val="center"/>
              <w:outlineLvl w:val="9"/>
              <w:rPr>
                <w:rFonts w:hint="eastAsia" w:ascii="宋体" w:hAnsi="宋体" w:eastAsia="宋体" w:cs="宋体"/>
                <w:sz w:val="24"/>
                <w:szCs w:val="24"/>
                <w:highlight w:val="none"/>
              </w:rPr>
            </w:pPr>
          </w:p>
        </w:tc>
      </w:tr>
      <w:tr w14:paraId="08A14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2605F6B2">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3C199A22">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7B540F15">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2DF0E9D8">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7A9CBD4D">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72A56179">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0542F2F9">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22077038">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289B082C">
            <w:pPr>
              <w:pageBreakBefore w:val="0"/>
              <w:kinsoku/>
              <w:overflowPunct/>
              <w:topLinePunct w:val="0"/>
              <w:bidi w:val="0"/>
              <w:jc w:val="center"/>
              <w:outlineLvl w:val="9"/>
              <w:rPr>
                <w:rFonts w:hint="eastAsia" w:ascii="宋体" w:hAnsi="宋体" w:eastAsia="宋体" w:cs="宋体"/>
                <w:sz w:val="24"/>
                <w:szCs w:val="24"/>
                <w:highlight w:val="none"/>
              </w:rPr>
            </w:pPr>
          </w:p>
        </w:tc>
      </w:tr>
      <w:tr w14:paraId="7DB44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516FA132">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0EFE89EB">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19FD07FA">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168E0CCA">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2E771031">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46B41DA5">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45CD78C6">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742A6157">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479FF031">
            <w:pPr>
              <w:pageBreakBefore w:val="0"/>
              <w:kinsoku/>
              <w:overflowPunct/>
              <w:topLinePunct w:val="0"/>
              <w:bidi w:val="0"/>
              <w:jc w:val="center"/>
              <w:outlineLvl w:val="9"/>
              <w:rPr>
                <w:rFonts w:hint="eastAsia" w:ascii="宋体" w:hAnsi="宋体" w:eastAsia="宋体" w:cs="宋体"/>
                <w:sz w:val="24"/>
                <w:szCs w:val="24"/>
                <w:highlight w:val="none"/>
              </w:rPr>
            </w:pPr>
          </w:p>
        </w:tc>
      </w:tr>
      <w:tr w14:paraId="287E7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6D7DEA05">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65DE0AD4">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30FB5D49">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05FC2236">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58E58A30">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764D110C">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279383A3">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3DC2A060">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796CF66C">
            <w:pPr>
              <w:pageBreakBefore w:val="0"/>
              <w:kinsoku/>
              <w:overflowPunct/>
              <w:topLinePunct w:val="0"/>
              <w:bidi w:val="0"/>
              <w:jc w:val="center"/>
              <w:outlineLvl w:val="9"/>
              <w:rPr>
                <w:rFonts w:hint="eastAsia" w:ascii="宋体" w:hAnsi="宋体" w:eastAsia="宋体" w:cs="宋体"/>
                <w:sz w:val="24"/>
                <w:szCs w:val="24"/>
                <w:highlight w:val="none"/>
              </w:rPr>
            </w:pPr>
          </w:p>
        </w:tc>
      </w:tr>
    </w:tbl>
    <w:p w14:paraId="7BB3824C">
      <w:pPr>
        <w:pageBreakBefore w:val="0"/>
        <w:kinsoku/>
        <w:overflowPunct/>
        <w:topLinePunct w:val="0"/>
        <w:bidi w:val="0"/>
        <w:outlineLvl w:val="9"/>
        <w:rPr>
          <w:rFonts w:hint="eastAsia" w:ascii="宋体" w:hAnsi="宋体" w:eastAsia="宋体" w:cs="宋体"/>
          <w:sz w:val="24"/>
          <w:szCs w:val="24"/>
          <w:highlight w:val="none"/>
        </w:rPr>
      </w:pPr>
    </w:p>
    <w:p w14:paraId="00CB40DA">
      <w:pPr>
        <w:pageBreakBefore w:val="0"/>
        <w:kinsoku/>
        <w:overflowPunct/>
        <w:topLinePunct w:val="0"/>
        <w:autoSpaceDE w:val="0"/>
        <w:autoSpaceDN w:val="0"/>
        <w:bidi w:val="0"/>
        <w:adjustRightInd w:val="0"/>
        <w:spacing w:line="520" w:lineRule="exact"/>
        <w:ind w:right="-20"/>
        <w:jc w:val="left"/>
        <w:outlineLvl w:val="9"/>
        <w:rPr>
          <w:rFonts w:hint="eastAsia" w:ascii="宋体" w:hAnsi="宋体" w:eastAsia="宋体" w:cs="宋体"/>
          <w:b/>
          <w:kern w:val="0"/>
          <w:sz w:val="24"/>
          <w:szCs w:val="24"/>
          <w:highlight w:val="none"/>
        </w:rPr>
      </w:pPr>
    </w:p>
    <w:p w14:paraId="45B6A7C7">
      <w:pPr>
        <w:pageBreakBefore w:val="0"/>
        <w:kinsoku/>
        <w:overflowPunct/>
        <w:topLinePunct w:val="0"/>
        <w:autoSpaceDE w:val="0"/>
        <w:autoSpaceDN w:val="0"/>
        <w:bidi w:val="0"/>
        <w:adjustRightInd w:val="0"/>
        <w:spacing w:line="520" w:lineRule="exact"/>
        <w:ind w:right="-20"/>
        <w:jc w:val="left"/>
        <w:outlineLvl w:val="9"/>
        <w:rPr>
          <w:rFonts w:hint="eastAsia" w:ascii="宋体" w:hAnsi="宋体" w:eastAsia="宋体" w:cs="宋体"/>
          <w:b/>
          <w:kern w:val="0"/>
          <w:sz w:val="24"/>
          <w:szCs w:val="24"/>
          <w:highlight w:val="none"/>
        </w:rPr>
      </w:pPr>
    </w:p>
    <w:p w14:paraId="1574A978">
      <w:pPr>
        <w:pageBreakBefore w:val="0"/>
        <w:kinsoku/>
        <w:overflowPunct/>
        <w:topLinePunct w:val="0"/>
        <w:autoSpaceDE w:val="0"/>
        <w:autoSpaceDN w:val="0"/>
        <w:bidi w:val="0"/>
        <w:adjustRightInd w:val="0"/>
        <w:spacing w:line="520" w:lineRule="exact"/>
        <w:ind w:right="-20"/>
        <w:jc w:val="left"/>
        <w:outlineLvl w:val="9"/>
        <w:rPr>
          <w:rFonts w:hint="eastAsia" w:ascii="宋体" w:hAnsi="宋体" w:eastAsia="宋体" w:cs="宋体"/>
          <w:b/>
          <w:kern w:val="0"/>
          <w:sz w:val="24"/>
          <w:szCs w:val="24"/>
          <w:highlight w:val="none"/>
        </w:rPr>
      </w:pPr>
    </w:p>
    <w:p w14:paraId="50367852">
      <w:pPr>
        <w:pageBreakBefore w:val="0"/>
        <w:kinsoku/>
        <w:overflowPunct/>
        <w:topLinePunct w:val="0"/>
        <w:autoSpaceDE w:val="0"/>
        <w:autoSpaceDN w:val="0"/>
        <w:bidi w:val="0"/>
        <w:adjustRightInd w:val="0"/>
        <w:spacing w:line="520" w:lineRule="exact"/>
        <w:ind w:right="-20"/>
        <w:jc w:val="left"/>
        <w:outlineLvl w:val="9"/>
        <w:rPr>
          <w:rFonts w:hint="eastAsia" w:ascii="宋体" w:hAnsi="宋体" w:eastAsia="宋体" w:cs="宋体"/>
          <w:sz w:val="24"/>
          <w:szCs w:val="24"/>
          <w:highlight w:val="none"/>
        </w:rPr>
      </w:pPr>
      <w:r>
        <w:rPr>
          <w:rFonts w:hint="eastAsia" w:ascii="宋体" w:hAnsi="宋体" w:eastAsia="宋体" w:cs="宋体"/>
          <w:b w:val="0"/>
          <w:bCs/>
          <w:kern w:val="0"/>
          <w:sz w:val="24"/>
          <w:szCs w:val="24"/>
          <w:highlight w:val="none"/>
        </w:rPr>
        <w:t>（</w:t>
      </w:r>
      <w:r>
        <w:rPr>
          <w:rFonts w:hint="eastAsia" w:ascii="宋体" w:hAnsi="宋体" w:eastAsia="宋体" w:cs="宋体"/>
          <w:sz w:val="24"/>
          <w:szCs w:val="24"/>
          <w:highlight w:val="none"/>
        </w:rPr>
        <w:t>二）主要人员简历表</w:t>
      </w:r>
    </w:p>
    <w:p w14:paraId="62FC34DA">
      <w:pPr>
        <w:pageBreakBefore w:val="0"/>
        <w:kinsoku/>
        <w:overflowPunct/>
        <w:topLinePunct w:val="0"/>
        <w:autoSpaceDE w:val="0"/>
        <w:autoSpaceDN w:val="0"/>
        <w:bidi w:val="0"/>
        <w:adjustRightInd w:val="0"/>
        <w:spacing w:line="200" w:lineRule="exact"/>
        <w:jc w:val="left"/>
        <w:outlineLvl w:val="9"/>
        <w:rPr>
          <w:rFonts w:hint="eastAsia" w:ascii="宋体" w:hAnsi="宋体" w:eastAsia="宋体" w:cs="宋体"/>
          <w:kern w:val="0"/>
          <w:sz w:val="24"/>
          <w:szCs w:val="24"/>
          <w:highlight w:val="none"/>
        </w:rPr>
      </w:pPr>
    </w:p>
    <w:p w14:paraId="5E907661">
      <w:pPr>
        <w:pageBreakBefore w:val="0"/>
        <w:kinsoku/>
        <w:overflowPunct/>
        <w:topLinePunct w:val="0"/>
        <w:bidi w:val="0"/>
        <w:spacing w:line="360" w:lineRule="auto"/>
        <w:outlineLvl w:val="9"/>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“主要人员简历表</w:t>
      </w:r>
      <w:r>
        <w:rPr>
          <w:rFonts w:hint="eastAsia" w:ascii="宋体" w:hAnsi="宋体" w:eastAsia="宋体" w:cs="宋体"/>
          <w:spacing w:val="-19"/>
          <w:kern w:val="0"/>
          <w:sz w:val="24"/>
          <w:szCs w:val="24"/>
          <w:highlight w:val="none"/>
        </w:rPr>
        <w:t>”</w:t>
      </w:r>
      <w:r>
        <w:rPr>
          <w:rFonts w:hint="eastAsia" w:ascii="宋体" w:hAnsi="宋体" w:eastAsia="宋体" w:cs="宋体"/>
          <w:kern w:val="0"/>
          <w:sz w:val="24"/>
          <w:szCs w:val="24"/>
          <w:highlight w:val="none"/>
        </w:rPr>
        <w:t>中的项目</w:t>
      </w:r>
      <w:r>
        <w:rPr>
          <w:rFonts w:hint="eastAsia" w:ascii="宋体" w:hAnsi="宋体" w:eastAsia="宋体" w:cs="宋体"/>
          <w:kern w:val="0"/>
          <w:sz w:val="24"/>
          <w:szCs w:val="24"/>
          <w:highlight w:val="none"/>
          <w:lang w:eastAsia="zh-CN"/>
        </w:rPr>
        <w:t>经理</w:t>
      </w:r>
      <w:r>
        <w:rPr>
          <w:rFonts w:hint="eastAsia" w:ascii="宋体" w:hAnsi="宋体" w:eastAsia="宋体" w:cs="宋体"/>
          <w:kern w:val="0"/>
          <w:sz w:val="24"/>
          <w:szCs w:val="24"/>
          <w:highlight w:val="none"/>
        </w:rPr>
        <w:t>应附</w:t>
      </w:r>
      <w:r>
        <w:rPr>
          <w:rFonts w:hint="eastAsia" w:ascii="宋体" w:hAnsi="宋体" w:eastAsia="宋体" w:cs="宋体"/>
          <w:kern w:val="0"/>
          <w:sz w:val="24"/>
          <w:szCs w:val="24"/>
          <w:highlight w:val="none"/>
          <w:lang w:eastAsia="zh-CN"/>
        </w:rPr>
        <w:t>资质证书，</w:t>
      </w:r>
      <w:r>
        <w:rPr>
          <w:rFonts w:hint="eastAsia" w:ascii="宋体" w:hAnsi="宋体" w:eastAsia="宋体" w:cs="宋体"/>
          <w:color w:val="auto"/>
          <w:sz w:val="24"/>
          <w:highlight w:val="none"/>
        </w:rPr>
        <w:t>安全生产考核证书</w:t>
      </w:r>
      <w:r>
        <w:rPr>
          <w:rFonts w:hint="eastAsia" w:ascii="宋体" w:hAnsi="宋体" w:eastAsia="宋体" w:cs="宋体"/>
          <w:color w:val="auto"/>
          <w:sz w:val="24"/>
          <w:highlight w:val="none"/>
          <w:lang w:eastAsia="zh-CN"/>
        </w:rPr>
        <w:t>，</w:t>
      </w:r>
      <w:r>
        <w:rPr>
          <w:rFonts w:hint="eastAsia" w:ascii="宋体" w:hAnsi="宋体" w:eastAsia="宋体" w:cs="宋体"/>
          <w:kern w:val="0"/>
          <w:sz w:val="24"/>
          <w:szCs w:val="24"/>
          <w:highlight w:val="none"/>
        </w:rPr>
        <w:t>身份证，</w:t>
      </w:r>
      <w:r>
        <w:rPr>
          <w:rFonts w:hint="eastAsia" w:ascii="宋体" w:hAnsi="宋体" w:eastAsia="宋体" w:cs="宋体"/>
          <w:kern w:val="0"/>
          <w:sz w:val="24"/>
          <w:szCs w:val="24"/>
          <w:highlight w:val="none"/>
          <w:lang w:eastAsia="zh-CN"/>
        </w:rPr>
        <w:t>劳动合同，</w:t>
      </w:r>
      <w:r>
        <w:rPr>
          <w:rFonts w:hint="eastAsia" w:ascii="宋体" w:hAnsi="宋体" w:eastAsia="宋体" w:cs="宋体"/>
          <w:color w:val="auto"/>
          <w:sz w:val="24"/>
          <w:highlight w:val="none"/>
        </w:rPr>
        <w:t>养老保险缴费证明</w:t>
      </w:r>
      <w:r>
        <w:rPr>
          <w:rFonts w:hint="eastAsia" w:ascii="宋体" w:hAnsi="宋体" w:eastAsia="宋体" w:cs="宋体"/>
          <w:color w:val="auto"/>
          <w:sz w:val="24"/>
          <w:highlight w:val="none"/>
          <w:lang w:eastAsia="zh-CN"/>
        </w:rPr>
        <w:t>，</w:t>
      </w:r>
      <w:r>
        <w:rPr>
          <w:rFonts w:hint="eastAsia" w:ascii="宋体" w:hAnsi="宋体" w:eastAsia="宋体" w:cs="宋体"/>
          <w:kern w:val="0"/>
          <w:sz w:val="24"/>
          <w:szCs w:val="24"/>
          <w:highlight w:val="none"/>
        </w:rPr>
        <w:t>管理过的项目业绩须附合同协议书或中标通知书</w:t>
      </w:r>
      <w:r>
        <w:rPr>
          <w:rFonts w:hint="eastAsia" w:ascii="宋体" w:hAnsi="宋体" w:eastAsia="宋体" w:cs="宋体"/>
          <w:kern w:val="0"/>
          <w:sz w:val="24"/>
          <w:szCs w:val="24"/>
          <w:highlight w:val="none"/>
          <w:lang w:eastAsia="zh-CN"/>
        </w:rPr>
        <w:t>的原件扫描件，</w:t>
      </w:r>
      <w:r>
        <w:rPr>
          <w:rFonts w:hint="eastAsia" w:ascii="宋体" w:hAnsi="宋体" w:eastAsia="宋体" w:cs="宋体"/>
          <w:kern w:val="0"/>
          <w:sz w:val="24"/>
          <w:szCs w:val="24"/>
          <w:highlight w:val="none"/>
        </w:rPr>
        <w:t>且未在其他在建工程项目中担任项目经理</w:t>
      </w:r>
      <w:r>
        <w:rPr>
          <w:rFonts w:hint="eastAsia" w:ascii="宋体" w:hAnsi="宋体" w:eastAsia="宋体" w:cs="宋体"/>
          <w:kern w:val="0"/>
          <w:sz w:val="24"/>
          <w:szCs w:val="24"/>
          <w:highlight w:val="none"/>
          <w:lang w:eastAsia="zh-CN"/>
        </w:rPr>
        <w:t>的</w:t>
      </w:r>
      <w:r>
        <w:rPr>
          <w:rFonts w:hint="eastAsia" w:ascii="宋体" w:hAnsi="宋体" w:eastAsia="宋体" w:cs="宋体"/>
          <w:sz w:val="24"/>
          <w:szCs w:val="24"/>
          <w:highlight w:val="none"/>
        </w:rPr>
        <w:t>承诺书</w:t>
      </w:r>
      <w:r>
        <w:rPr>
          <w:rFonts w:hint="eastAsia" w:ascii="宋体" w:hAnsi="宋体" w:eastAsia="宋体" w:cs="宋体"/>
          <w:sz w:val="24"/>
          <w:szCs w:val="24"/>
          <w:highlight w:val="none"/>
          <w:lang w:eastAsia="zh-CN"/>
        </w:rPr>
        <w:t>。其他人员附身份证，执业证或上岗证书等相关资料原件扫描件。</w:t>
      </w:r>
    </w:p>
    <w:p w14:paraId="071F5764">
      <w:pPr>
        <w:pageBreakBefore w:val="0"/>
        <w:kinsoku/>
        <w:overflowPunct/>
        <w:topLinePunct w:val="0"/>
        <w:autoSpaceDE w:val="0"/>
        <w:autoSpaceDN w:val="0"/>
        <w:bidi w:val="0"/>
        <w:adjustRightInd w:val="0"/>
        <w:spacing w:before="8" w:line="200" w:lineRule="exact"/>
        <w:jc w:val="left"/>
        <w:outlineLvl w:val="9"/>
        <w:rPr>
          <w:rFonts w:hint="eastAsia" w:ascii="宋体" w:hAnsi="宋体" w:eastAsia="宋体" w:cs="宋体"/>
          <w:kern w:val="0"/>
          <w:sz w:val="24"/>
          <w:szCs w:val="24"/>
          <w:highlight w:val="none"/>
        </w:rPr>
      </w:pPr>
    </w:p>
    <w:tbl>
      <w:tblPr>
        <w:tblStyle w:val="23"/>
        <w:tblW w:w="5012" w:type="pct"/>
        <w:jc w:val="center"/>
        <w:tblLayout w:type="autofit"/>
        <w:tblCellMar>
          <w:top w:w="0" w:type="dxa"/>
          <w:left w:w="0" w:type="dxa"/>
          <w:bottom w:w="0" w:type="dxa"/>
          <w:right w:w="0" w:type="dxa"/>
        </w:tblCellMar>
      </w:tblPr>
      <w:tblGrid>
        <w:gridCol w:w="1160"/>
        <w:gridCol w:w="352"/>
        <w:gridCol w:w="705"/>
        <w:gridCol w:w="905"/>
        <w:gridCol w:w="1042"/>
        <w:gridCol w:w="692"/>
        <w:gridCol w:w="1232"/>
        <w:gridCol w:w="160"/>
        <w:gridCol w:w="2088"/>
      </w:tblGrid>
      <w:tr w14:paraId="4C4DDB96">
        <w:tblPrEx>
          <w:tblCellMar>
            <w:top w:w="0" w:type="dxa"/>
            <w:left w:w="0" w:type="dxa"/>
            <w:bottom w:w="0" w:type="dxa"/>
            <w:right w:w="0" w:type="dxa"/>
          </w:tblCellMar>
        </w:tblPrEx>
        <w:trPr>
          <w:trHeight w:val="450"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581EFA4A">
            <w:pPr>
              <w:pageBreakBefore w:val="0"/>
              <w:kinsoku/>
              <w:overflowPunct/>
              <w:topLinePunct w:val="0"/>
              <w:autoSpaceDE w:val="0"/>
              <w:autoSpaceDN w:val="0"/>
              <w:bidi w:val="0"/>
              <w:adjustRightInd w:val="0"/>
              <w:spacing w:before="73"/>
              <w:ind w:left="103" w:right="-20"/>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姓</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名</w:t>
            </w:r>
          </w:p>
        </w:tc>
        <w:tc>
          <w:tcPr>
            <w:tcW w:w="634" w:type="pct"/>
            <w:gridSpan w:val="2"/>
            <w:tcBorders>
              <w:top w:val="single" w:color="000000" w:sz="4" w:space="0"/>
              <w:left w:val="nil"/>
              <w:bottom w:val="single" w:color="000000" w:sz="4" w:space="0"/>
              <w:right w:val="single" w:color="000000" w:sz="4" w:space="0"/>
            </w:tcBorders>
            <w:vAlign w:val="center"/>
          </w:tcPr>
          <w:p w14:paraId="4AAE151E">
            <w:pPr>
              <w:pageBreakBefore w:val="0"/>
              <w:kinsoku/>
              <w:overflowPunct/>
              <w:topLinePunct w:val="0"/>
              <w:autoSpaceDE w:val="0"/>
              <w:autoSpaceDN w:val="0"/>
              <w:bidi w:val="0"/>
              <w:adjustRightInd w:val="0"/>
              <w:outlineLvl w:val="9"/>
              <w:rPr>
                <w:rFonts w:hint="eastAsia" w:ascii="宋体" w:hAnsi="宋体" w:eastAsia="宋体" w:cs="宋体"/>
                <w:kern w:val="0"/>
                <w:sz w:val="24"/>
                <w:szCs w:val="24"/>
                <w:highlight w:val="none"/>
              </w:rPr>
            </w:pPr>
          </w:p>
        </w:tc>
        <w:tc>
          <w:tcPr>
            <w:tcW w:w="543" w:type="pct"/>
            <w:tcBorders>
              <w:top w:val="single" w:color="000000" w:sz="4" w:space="0"/>
              <w:left w:val="nil"/>
              <w:bottom w:val="single" w:color="000000" w:sz="4" w:space="0"/>
              <w:right w:val="single" w:color="000000" w:sz="4" w:space="0"/>
            </w:tcBorders>
            <w:vAlign w:val="center"/>
          </w:tcPr>
          <w:p w14:paraId="77EA4E6D">
            <w:pPr>
              <w:pageBreakBefore w:val="0"/>
              <w:kinsoku/>
              <w:overflowPunct/>
              <w:topLinePunct w:val="0"/>
              <w:autoSpaceDE w:val="0"/>
              <w:autoSpaceDN w:val="0"/>
              <w:bidi w:val="0"/>
              <w:adjustRightInd w:val="0"/>
              <w:spacing w:before="73"/>
              <w:ind w:left="103" w:right="-20"/>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年龄</w:t>
            </w:r>
          </w:p>
        </w:tc>
        <w:tc>
          <w:tcPr>
            <w:tcW w:w="625" w:type="pct"/>
            <w:tcBorders>
              <w:top w:val="single" w:color="000000" w:sz="4" w:space="0"/>
              <w:left w:val="nil"/>
              <w:bottom w:val="single" w:color="000000" w:sz="4" w:space="0"/>
              <w:right w:val="single" w:color="000000" w:sz="4" w:space="0"/>
            </w:tcBorders>
            <w:vAlign w:val="center"/>
          </w:tcPr>
          <w:p w14:paraId="65A0CDBA">
            <w:pPr>
              <w:pageBreakBefore w:val="0"/>
              <w:kinsoku/>
              <w:overflowPunct/>
              <w:topLinePunct w:val="0"/>
              <w:autoSpaceDE w:val="0"/>
              <w:autoSpaceDN w:val="0"/>
              <w:bidi w:val="0"/>
              <w:adjustRightInd w:val="0"/>
              <w:outlineLvl w:val="9"/>
              <w:rPr>
                <w:rFonts w:hint="eastAsia" w:ascii="宋体" w:hAnsi="宋体" w:eastAsia="宋体" w:cs="宋体"/>
                <w:kern w:val="0"/>
                <w:sz w:val="24"/>
                <w:szCs w:val="24"/>
                <w:highlight w:val="none"/>
              </w:rPr>
            </w:pPr>
          </w:p>
        </w:tc>
        <w:tc>
          <w:tcPr>
            <w:tcW w:w="1250" w:type="pct"/>
            <w:gridSpan w:val="3"/>
            <w:tcBorders>
              <w:top w:val="single" w:color="000000" w:sz="4" w:space="0"/>
              <w:left w:val="nil"/>
              <w:bottom w:val="single" w:color="000000" w:sz="4" w:space="0"/>
              <w:right w:val="single" w:color="000000" w:sz="4" w:space="0"/>
            </w:tcBorders>
            <w:vAlign w:val="center"/>
          </w:tcPr>
          <w:p w14:paraId="16BEE510">
            <w:pPr>
              <w:pageBreakBefore w:val="0"/>
              <w:kinsoku/>
              <w:overflowPunct/>
              <w:topLinePunct w:val="0"/>
              <w:autoSpaceDE w:val="0"/>
              <w:autoSpaceDN w:val="0"/>
              <w:bidi w:val="0"/>
              <w:adjustRightInd w:val="0"/>
              <w:spacing w:before="73"/>
              <w:ind w:left="102" w:right="-20"/>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学历</w:t>
            </w:r>
          </w:p>
        </w:tc>
        <w:tc>
          <w:tcPr>
            <w:tcW w:w="1252" w:type="pct"/>
            <w:tcBorders>
              <w:top w:val="single" w:color="000000" w:sz="4" w:space="0"/>
              <w:left w:val="nil"/>
              <w:bottom w:val="single" w:color="000000" w:sz="4" w:space="0"/>
              <w:right w:val="single" w:color="000000" w:sz="4" w:space="0"/>
            </w:tcBorders>
            <w:vAlign w:val="center"/>
          </w:tcPr>
          <w:p w14:paraId="15191963">
            <w:pPr>
              <w:pageBreakBefore w:val="0"/>
              <w:kinsoku/>
              <w:overflowPunct/>
              <w:topLinePunct w:val="0"/>
              <w:autoSpaceDE w:val="0"/>
              <w:autoSpaceDN w:val="0"/>
              <w:bidi w:val="0"/>
              <w:adjustRightInd w:val="0"/>
              <w:outlineLvl w:val="9"/>
              <w:rPr>
                <w:rFonts w:hint="eastAsia" w:ascii="宋体" w:hAnsi="宋体" w:eastAsia="宋体" w:cs="宋体"/>
                <w:kern w:val="0"/>
                <w:sz w:val="24"/>
                <w:szCs w:val="24"/>
                <w:highlight w:val="none"/>
              </w:rPr>
            </w:pPr>
          </w:p>
        </w:tc>
      </w:tr>
      <w:tr w14:paraId="72DB8A86">
        <w:tblPrEx>
          <w:tblCellMar>
            <w:top w:w="0" w:type="dxa"/>
            <w:left w:w="0" w:type="dxa"/>
            <w:bottom w:w="0" w:type="dxa"/>
            <w:right w:w="0" w:type="dxa"/>
          </w:tblCellMar>
        </w:tblPrEx>
        <w:trPr>
          <w:trHeight w:val="450"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2ACE5137">
            <w:pPr>
              <w:pageBreakBefore w:val="0"/>
              <w:kinsoku/>
              <w:overflowPunct/>
              <w:topLinePunct w:val="0"/>
              <w:autoSpaceDE w:val="0"/>
              <w:autoSpaceDN w:val="0"/>
              <w:bidi w:val="0"/>
              <w:adjustRightInd w:val="0"/>
              <w:spacing w:before="73"/>
              <w:ind w:left="103" w:right="-20"/>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职</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称</w:t>
            </w:r>
          </w:p>
        </w:tc>
        <w:tc>
          <w:tcPr>
            <w:tcW w:w="634" w:type="pct"/>
            <w:gridSpan w:val="2"/>
            <w:tcBorders>
              <w:top w:val="single" w:color="000000" w:sz="4" w:space="0"/>
              <w:left w:val="nil"/>
              <w:bottom w:val="single" w:color="000000" w:sz="4" w:space="0"/>
              <w:right w:val="single" w:color="000000" w:sz="4" w:space="0"/>
            </w:tcBorders>
            <w:vAlign w:val="center"/>
          </w:tcPr>
          <w:p w14:paraId="51AE4CAF">
            <w:pPr>
              <w:pageBreakBefore w:val="0"/>
              <w:kinsoku/>
              <w:overflowPunct/>
              <w:topLinePunct w:val="0"/>
              <w:autoSpaceDE w:val="0"/>
              <w:autoSpaceDN w:val="0"/>
              <w:bidi w:val="0"/>
              <w:adjustRightInd w:val="0"/>
              <w:outlineLvl w:val="9"/>
              <w:rPr>
                <w:rFonts w:hint="eastAsia" w:ascii="宋体" w:hAnsi="宋体" w:eastAsia="宋体" w:cs="宋体"/>
                <w:kern w:val="0"/>
                <w:sz w:val="24"/>
                <w:szCs w:val="24"/>
                <w:highlight w:val="none"/>
              </w:rPr>
            </w:pPr>
          </w:p>
        </w:tc>
        <w:tc>
          <w:tcPr>
            <w:tcW w:w="543" w:type="pct"/>
            <w:tcBorders>
              <w:top w:val="single" w:color="000000" w:sz="4" w:space="0"/>
              <w:left w:val="nil"/>
              <w:bottom w:val="single" w:color="000000" w:sz="4" w:space="0"/>
              <w:right w:val="single" w:color="000000" w:sz="4" w:space="0"/>
            </w:tcBorders>
            <w:vAlign w:val="center"/>
          </w:tcPr>
          <w:p w14:paraId="2BAE23B7">
            <w:pPr>
              <w:pageBreakBefore w:val="0"/>
              <w:kinsoku/>
              <w:overflowPunct/>
              <w:topLinePunct w:val="0"/>
              <w:autoSpaceDE w:val="0"/>
              <w:autoSpaceDN w:val="0"/>
              <w:bidi w:val="0"/>
              <w:adjustRightInd w:val="0"/>
              <w:spacing w:before="73"/>
              <w:ind w:left="102" w:right="-20"/>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职务</w:t>
            </w:r>
          </w:p>
        </w:tc>
        <w:tc>
          <w:tcPr>
            <w:tcW w:w="625" w:type="pct"/>
            <w:tcBorders>
              <w:top w:val="single" w:color="000000" w:sz="4" w:space="0"/>
              <w:left w:val="nil"/>
              <w:bottom w:val="single" w:color="000000" w:sz="4" w:space="0"/>
              <w:right w:val="single" w:color="000000" w:sz="4" w:space="0"/>
            </w:tcBorders>
            <w:vAlign w:val="center"/>
          </w:tcPr>
          <w:p w14:paraId="70D042F3">
            <w:pPr>
              <w:pageBreakBefore w:val="0"/>
              <w:kinsoku/>
              <w:overflowPunct/>
              <w:topLinePunct w:val="0"/>
              <w:autoSpaceDE w:val="0"/>
              <w:autoSpaceDN w:val="0"/>
              <w:bidi w:val="0"/>
              <w:adjustRightInd w:val="0"/>
              <w:outlineLvl w:val="9"/>
              <w:rPr>
                <w:rFonts w:hint="eastAsia" w:ascii="宋体" w:hAnsi="宋体" w:eastAsia="宋体" w:cs="宋体"/>
                <w:kern w:val="0"/>
                <w:sz w:val="24"/>
                <w:szCs w:val="24"/>
                <w:highlight w:val="none"/>
              </w:rPr>
            </w:pPr>
          </w:p>
        </w:tc>
        <w:tc>
          <w:tcPr>
            <w:tcW w:w="1250" w:type="pct"/>
            <w:gridSpan w:val="3"/>
            <w:tcBorders>
              <w:top w:val="single" w:color="000000" w:sz="4" w:space="0"/>
              <w:left w:val="nil"/>
              <w:bottom w:val="single" w:color="000000" w:sz="4" w:space="0"/>
              <w:right w:val="single" w:color="000000" w:sz="4" w:space="0"/>
            </w:tcBorders>
            <w:vAlign w:val="center"/>
          </w:tcPr>
          <w:p w14:paraId="4CA349AE">
            <w:pPr>
              <w:pageBreakBefore w:val="0"/>
              <w:kinsoku/>
              <w:overflowPunct/>
              <w:topLinePunct w:val="0"/>
              <w:autoSpaceDE w:val="0"/>
              <w:autoSpaceDN w:val="0"/>
              <w:bidi w:val="0"/>
              <w:adjustRightInd w:val="0"/>
              <w:spacing w:before="73"/>
              <w:ind w:left="102" w:right="-20"/>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拟在本合同任职</w:t>
            </w:r>
          </w:p>
        </w:tc>
        <w:tc>
          <w:tcPr>
            <w:tcW w:w="1252" w:type="pct"/>
            <w:tcBorders>
              <w:top w:val="single" w:color="000000" w:sz="4" w:space="0"/>
              <w:left w:val="nil"/>
              <w:bottom w:val="single" w:color="000000" w:sz="4" w:space="0"/>
              <w:right w:val="single" w:color="000000" w:sz="4" w:space="0"/>
            </w:tcBorders>
            <w:vAlign w:val="center"/>
          </w:tcPr>
          <w:p w14:paraId="1686F43F">
            <w:pPr>
              <w:pageBreakBefore w:val="0"/>
              <w:kinsoku/>
              <w:overflowPunct/>
              <w:topLinePunct w:val="0"/>
              <w:autoSpaceDE w:val="0"/>
              <w:autoSpaceDN w:val="0"/>
              <w:bidi w:val="0"/>
              <w:adjustRightInd w:val="0"/>
              <w:outlineLvl w:val="9"/>
              <w:rPr>
                <w:rFonts w:hint="eastAsia" w:ascii="宋体" w:hAnsi="宋体" w:eastAsia="宋体" w:cs="宋体"/>
                <w:kern w:val="0"/>
                <w:sz w:val="24"/>
                <w:szCs w:val="24"/>
                <w:highlight w:val="none"/>
              </w:rPr>
            </w:pPr>
          </w:p>
        </w:tc>
      </w:tr>
      <w:tr w14:paraId="412256D6">
        <w:tblPrEx>
          <w:tblCellMar>
            <w:top w:w="0" w:type="dxa"/>
            <w:left w:w="0" w:type="dxa"/>
            <w:bottom w:w="0" w:type="dxa"/>
            <w:right w:w="0" w:type="dxa"/>
          </w:tblCellMar>
        </w:tblPrEx>
        <w:trPr>
          <w:trHeight w:val="450"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10119601">
            <w:pPr>
              <w:pageBreakBefore w:val="0"/>
              <w:kinsoku/>
              <w:overflowPunct/>
              <w:topLinePunct w:val="0"/>
              <w:autoSpaceDE w:val="0"/>
              <w:autoSpaceDN w:val="0"/>
              <w:bidi w:val="0"/>
              <w:adjustRightInd w:val="0"/>
              <w:spacing w:before="73"/>
              <w:ind w:left="103" w:right="-20"/>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毕业学校</w:t>
            </w:r>
          </w:p>
        </w:tc>
        <w:tc>
          <w:tcPr>
            <w:tcW w:w="4304" w:type="pct"/>
            <w:gridSpan w:val="8"/>
            <w:tcBorders>
              <w:top w:val="single" w:color="000000" w:sz="4" w:space="0"/>
              <w:left w:val="nil"/>
              <w:bottom w:val="single" w:color="000000" w:sz="4" w:space="0"/>
              <w:right w:val="single" w:color="000000" w:sz="4" w:space="0"/>
            </w:tcBorders>
            <w:vAlign w:val="center"/>
          </w:tcPr>
          <w:p w14:paraId="40D2DBB7">
            <w:pPr>
              <w:pageBreakBefore w:val="0"/>
              <w:kinsoku/>
              <w:overflowPunct/>
              <w:topLinePunct w:val="0"/>
              <w:autoSpaceDE w:val="0"/>
              <w:autoSpaceDN w:val="0"/>
              <w:bidi w:val="0"/>
              <w:adjustRightInd w:val="0"/>
              <w:spacing w:before="73"/>
              <w:ind w:left="733" w:right="-20"/>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年</w:t>
            </w:r>
            <w:r>
              <w:rPr>
                <w:rFonts w:hint="eastAsia" w:ascii="宋体" w:hAnsi="宋体" w:eastAsia="宋体" w:cs="宋体"/>
                <w:spacing w:val="-1"/>
                <w:kern w:val="0"/>
                <w:sz w:val="24"/>
                <w:szCs w:val="24"/>
                <w:highlight w:val="none"/>
              </w:rPr>
              <w:t>毕</w:t>
            </w:r>
            <w:r>
              <w:rPr>
                <w:rFonts w:hint="eastAsia" w:ascii="宋体" w:hAnsi="宋体" w:eastAsia="宋体" w:cs="宋体"/>
                <w:kern w:val="0"/>
                <w:sz w:val="24"/>
                <w:szCs w:val="24"/>
                <w:highlight w:val="none"/>
              </w:rPr>
              <w:t>业于</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学校</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专业</w:t>
            </w:r>
          </w:p>
        </w:tc>
      </w:tr>
      <w:tr w14:paraId="27DB5F97">
        <w:tblPrEx>
          <w:tblCellMar>
            <w:top w:w="0" w:type="dxa"/>
            <w:left w:w="0" w:type="dxa"/>
            <w:bottom w:w="0" w:type="dxa"/>
            <w:right w:w="0" w:type="dxa"/>
          </w:tblCellMar>
        </w:tblPrEx>
        <w:trPr>
          <w:trHeight w:val="45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vAlign w:val="center"/>
          </w:tcPr>
          <w:p w14:paraId="18728729">
            <w:pPr>
              <w:pageBreakBefore w:val="0"/>
              <w:kinsoku/>
              <w:overflowPunct/>
              <w:topLinePunct w:val="0"/>
              <w:autoSpaceDE w:val="0"/>
              <w:autoSpaceDN w:val="0"/>
              <w:bidi w:val="0"/>
              <w:adjustRightInd w:val="0"/>
              <w:spacing w:before="73"/>
              <w:ind w:left="103" w:right="-20"/>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主要工作经历</w:t>
            </w:r>
          </w:p>
        </w:tc>
      </w:tr>
      <w:tr w14:paraId="035A85B6">
        <w:tblPrEx>
          <w:tblCellMar>
            <w:top w:w="0" w:type="dxa"/>
            <w:left w:w="0" w:type="dxa"/>
            <w:bottom w:w="0" w:type="dxa"/>
            <w:right w:w="0" w:type="dxa"/>
          </w:tblCellMar>
        </w:tblPrEx>
        <w:trPr>
          <w:trHeight w:val="45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vAlign w:val="center"/>
          </w:tcPr>
          <w:p w14:paraId="087F6265">
            <w:pPr>
              <w:pageBreakBefore w:val="0"/>
              <w:kinsoku/>
              <w:overflowPunct/>
              <w:topLinePunct w:val="0"/>
              <w:autoSpaceDE w:val="0"/>
              <w:autoSpaceDN w:val="0"/>
              <w:bidi w:val="0"/>
              <w:adjustRightInd w:val="0"/>
              <w:spacing w:before="73"/>
              <w:ind w:left="103" w:right="-20"/>
              <w:jc w:val="center"/>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时</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间</w:t>
            </w:r>
          </w:p>
        </w:tc>
        <w:tc>
          <w:tcPr>
            <w:tcW w:w="2006" w:type="pct"/>
            <w:gridSpan w:val="4"/>
            <w:tcBorders>
              <w:top w:val="single" w:color="000000" w:sz="4" w:space="0"/>
              <w:left w:val="nil"/>
              <w:bottom w:val="single" w:color="000000" w:sz="4" w:space="0"/>
              <w:right w:val="single" w:color="000000" w:sz="4" w:space="0"/>
            </w:tcBorders>
            <w:vAlign w:val="center"/>
          </w:tcPr>
          <w:p w14:paraId="0C0CC6FF">
            <w:pPr>
              <w:pageBreakBefore w:val="0"/>
              <w:kinsoku/>
              <w:overflowPunct/>
              <w:topLinePunct w:val="0"/>
              <w:autoSpaceDE w:val="0"/>
              <w:autoSpaceDN w:val="0"/>
              <w:bidi w:val="0"/>
              <w:adjustRightInd w:val="0"/>
              <w:spacing w:before="73"/>
              <w:ind w:left="102" w:right="-20"/>
              <w:jc w:val="center"/>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参加过的类似项目</w:t>
            </w:r>
          </w:p>
        </w:tc>
        <w:tc>
          <w:tcPr>
            <w:tcW w:w="739" w:type="pct"/>
            <w:tcBorders>
              <w:top w:val="single" w:color="000000" w:sz="4" w:space="0"/>
              <w:left w:val="nil"/>
              <w:bottom w:val="single" w:color="000000" w:sz="4" w:space="0"/>
              <w:right w:val="single" w:color="000000" w:sz="4" w:space="0"/>
            </w:tcBorders>
            <w:vAlign w:val="center"/>
          </w:tcPr>
          <w:p w14:paraId="6D97AE06">
            <w:pPr>
              <w:pageBreakBefore w:val="0"/>
              <w:kinsoku/>
              <w:overflowPunct/>
              <w:topLinePunct w:val="0"/>
              <w:autoSpaceDE w:val="0"/>
              <w:autoSpaceDN w:val="0"/>
              <w:bidi w:val="0"/>
              <w:adjustRightInd w:val="0"/>
              <w:spacing w:before="73"/>
              <w:ind w:left="102" w:right="-20"/>
              <w:jc w:val="center"/>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担任职务</w:t>
            </w:r>
          </w:p>
        </w:tc>
        <w:tc>
          <w:tcPr>
            <w:tcW w:w="1348" w:type="pct"/>
            <w:gridSpan w:val="2"/>
            <w:tcBorders>
              <w:top w:val="single" w:color="000000" w:sz="4" w:space="0"/>
              <w:left w:val="nil"/>
              <w:bottom w:val="single" w:color="000000" w:sz="4" w:space="0"/>
              <w:right w:val="single" w:color="000000" w:sz="4" w:space="0"/>
            </w:tcBorders>
            <w:vAlign w:val="center"/>
          </w:tcPr>
          <w:p w14:paraId="4335DB06">
            <w:pPr>
              <w:pageBreakBefore w:val="0"/>
              <w:kinsoku/>
              <w:overflowPunct/>
              <w:topLinePunct w:val="0"/>
              <w:autoSpaceDE w:val="0"/>
              <w:autoSpaceDN w:val="0"/>
              <w:bidi w:val="0"/>
              <w:adjustRightInd w:val="0"/>
              <w:spacing w:before="73"/>
              <w:ind w:left="103" w:right="-20"/>
              <w:jc w:val="center"/>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发包人及联系电话</w:t>
            </w:r>
          </w:p>
        </w:tc>
      </w:tr>
      <w:tr w14:paraId="1CA871EE">
        <w:tblPrEx>
          <w:tblCellMar>
            <w:top w:w="0" w:type="dxa"/>
            <w:left w:w="0" w:type="dxa"/>
            <w:bottom w:w="0" w:type="dxa"/>
            <w:right w:w="0" w:type="dxa"/>
          </w:tblCellMar>
        </w:tblPrEx>
        <w:trPr>
          <w:trHeight w:val="701"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46BFC760">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2006" w:type="pct"/>
            <w:gridSpan w:val="4"/>
            <w:tcBorders>
              <w:top w:val="single" w:color="000000" w:sz="4" w:space="0"/>
              <w:left w:val="nil"/>
              <w:bottom w:val="single" w:color="000000" w:sz="4" w:space="0"/>
              <w:right w:val="single" w:color="000000" w:sz="4" w:space="0"/>
            </w:tcBorders>
          </w:tcPr>
          <w:p w14:paraId="2732223F">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739" w:type="pct"/>
            <w:tcBorders>
              <w:top w:val="single" w:color="000000" w:sz="4" w:space="0"/>
              <w:left w:val="nil"/>
              <w:bottom w:val="single" w:color="000000" w:sz="4" w:space="0"/>
              <w:right w:val="single" w:color="000000" w:sz="4" w:space="0"/>
            </w:tcBorders>
          </w:tcPr>
          <w:p w14:paraId="7483F208">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1348" w:type="pct"/>
            <w:gridSpan w:val="2"/>
            <w:tcBorders>
              <w:top w:val="single" w:color="000000" w:sz="4" w:space="0"/>
              <w:left w:val="nil"/>
              <w:bottom w:val="single" w:color="000000" w:sz="4" w:space="0"/>
              <w:right w:val="single" w:color="000000" w:sz="4" w:space="0"/>
            </w:tcBorders>
          </w:tcPr>
          <w:p w14:paraId="56E4B51F">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r>
      <w:tr w14:paraId="3755098D">
        <w:tblPrEx>
          <w:tblCellMar>
            <w:top w:w="0" w:type="dxa"/>
            <w:left w:w="0" w:type="dxa"/>
            <w:bottom w:w="0" w:type="dxa"/>
            <w:right w:w="0" w:type="dxa"/>
          </w:tblCellMar>
        </w:tblPrEx>
        <w:trPr>
          <w:trHeight w:val="675"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3F15E671">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2006" w:type="pct"/>
            <w:gridSpan w:val="4"/>
            <w:tcBorders>
              <w:top w:val="single" w:color="000000" w:sz="4" w:space="0"/>
              <w:left w:val="nil"/>
              <w:bottom w:val="single" w:color="000000" w:sz="4" w:space="0"/>
              <w:right w:val="single" w:color="000000" w:sz="4" w:space="0"/>
            </w:tcBorders>
          </w:tcPr>
          <w:p w14:paraId="775AF85B">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739" w:type="pct"/>
            <w:tcBorders>
              <w:top w:val="single" w:color="000000" w:sz="4" w:space="0"/>
              <w:left w:val="nil"/>
              <w:bottom w:val="single" w:color="000000" w:sz="4" w:space="0"/>
              <w:right w:val="single" w:color="000000" w:sz="4" w:space="0"/>
            </w:tcBorders>
          </w:tcPr>
          <w:p w14:paraId="5A69A5FF">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1348" w:type="pct"/>
            <w:gridSpan w:val="2"/>
            <w:tcBorders>
              <w:top w:val="single" w:color="000000" w:sz="4" w:space="0"/>
              <w:left w:val="nil"/>
              <w:bottom w:val="single" w:color="000000" w:sz="4" w:space="0"/>
              <w:right w:val="single" w:color="000000" w:sz="4" w:space="0"/>
            </w:tcBorders>
          </w:tcPr>
          <w:p w14:paraId="5071E3AD">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r>
      <w:tr w14:paraId="7A2691E0">
        <w:tblPrEx>
          <w:tblCellMar>
            <w:top w:w="0" w:type="dxa"/>
            <w:left w:w="0" w:type="dxa"/>
            <w:bottom w:w="0" w:type="dxa"/>
            <w:right w:w="0" w:type="dxa"/>
          </w:tblCellMar>
        </w:tblPrEx>
        <w:trPr>
          <w:trHeight w:val="70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156D91BB">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2006" w:type="pct"/>
            <w:gridSpan w:val="4"/>
            <w:tcBorders>
              <w:top w:val="single" w:color="000000" w:sz="4" w:space="0"/>
              <w:left w:val="nil"/>
              <w:bottom w:val="single" w:color="000000" w:sz="4" w:space="0"/>
              <w:right w:val="single" w:color="000000" w:sz="4" w:space="0"/>
            </w:tcBorders>
          </w:tcPr>
          <w:p w14:paraId="5F7229D7">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739" w:type="pct"/>
            <w:tcBorders>
              <w:top w:val="single" w:color="000000" w:sz="4" w:space="0"/>
              <w:left w:val="nil"/>
              <w:bottom w:val="single" w:color="000000" w:sz="4" w:space="0"/>
              <w:right w:val="single" w:color="000000" w:sz="4" w:space="0"/>
            </w:tcBorders>
          </w:tcPr>
          <w:p w14:paraId="0E7716E0">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1348" w:type="pct"/>
            <w:gridSpan w:val="2"/>
            <w:tcBorders>
              <w:top w:val="single" w:color="000000" w:sz="4" w:space="0"/>
              <w:left w:val="nil"/>
              <w:bottom w:val="single" w:color="000000" w:sz="4" w:space="0"/>
              <w:right w:val="single" w:color="000000" w:sz="4" w:space="0"/>
            </w:tcBorders>
          </w:tcPr>
          <w:p w14:paraId="60A5F60D">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r>
      <w:tr w14:paraId="395191E6">
        <w:tblPrEx>
          <w:tblCellMar>
            <w:top w:w="0" w:type="dxa"/>
            <w:left w:w="0" w:type="dxa"/>
            <w:bottom w:w="0" w:type="dxa"/>
            <w:right w:w="0" w:type="dxa"/>
          </w:tblCellMar>
        </w:tblPrEx>
        <w:trPr>
          <w:trHeight w:val="701"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1D6577BC">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2006" w:type="pct"/>
            <w:gridSpan w:val="4"/>
            <w:tcBorders>
              <w:top w:val="single" w:color="000000" w:sz="4" w:space="0"/>
              <w:left w:val="nil"/>
              <w:bottom w:val="single" w:color="000000" w:sz="4" w:space="0"/>
              <w:right w:val="single" w:color="000000" w:sz="4" w:space="0"/>
            </w:tcBorders>
          </w:tcPr>
          <w:p w14:paraId="5EC8295B">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739" w:type="pct"/>
            <w:tcBorders>
              <w:top w:val="single" w:color="000000" w:sz="4" w:space="0"/>
              <w:left w:val="nil"/>
              <w:bottom w:val="single" w:color="000000" w:sz="4" w:space="0"/>
              <w:right w:val="single" w:color="000000" w:sz="4" w:space="0"/>
            </w:tcBorders>
          </w:tcPr>
          <w:p w14:paraId="629F0BAC">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1348" w:type="pct"/>
            <w:gridSpan w:val="2"/>
            <w:tcBorders>
              <w:top w:val="single" w:color="000000" w:sz="4" w:space="0"/>
              <w:left w:val="nil"/>
              <w:bottom w:val="single" w:color="000000" w:sz="4" w:space="0"/>
              <w:right w:val="single" w:color="000000" w:sz="4" w:space="0"/>
            </w:tcBorders>
          </w:tcPr>
          <w:p w14:paraId="53FDEF78">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r>
      <w:tr w14:paraId="2B31043A">
        <w:tblPrEx>
          <w:tblCellMar>
            <w:top w:w="0" w:type="dxa"/>
            <w:left w:w="0" w:type="dxa"/>
            <w:bottom w:w="0" w:type="dxa"/>
            <w:right w:w="0" w:type="dxa"/>
          </w:tblCellMar>
        </w:tblPrEx>
        <w:trPr>
          <w:trHeight w:val="70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7C20987A">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2006" w:type="pct"/>
            <w:gridSpan w:val="4"/>
            <w:tcBorders>
              <w:top w:val="single" w:color="000000" w:sz="4" w:space="0"/>
              <w:left w:val="nil"/>
              <w:bottom w:val="single" w:color="000000" w:sz="4" w:space="0"/>
              <w:right w:val="single" w:color="000000" w:sz="4" w:space="0"/>
            </w:tcBorders>
          </w:tcPr>
          <w:p w14:paraId="50A6A413">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739" w:type="pct"/>
            <w:tcBorders>
              <w:top w:val="single" w:color="000000" w:sz="4" w:space="0"/>
              <w:left w:val="nil"/>
              <w:bottom w:val="single" w:color="000000" w:sz="4" w:space="0"/>
              <w:right w:val="single" w:color="000000" w:sz="4" w:space="0"/>
            </w:tcBorders>
          </w:tcPr>
          <w:p w14:paraId="2CE0E036">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1348" w:type="pct"/>
            <w:gridSpan w:val="2"/>
            <w:tcBorders>
              <w:top w:val="single" w:color="000000" w:sz="4" w:space="0"/>
              <w:left w:val="nil"/>
              <w:bottom w:val="single" w:color="000000" w:sz="4" w:space="0"/>
              <w:right w:val="single" w:color="000000" w:sz="4" w:space="0"/>
            </w:tcBorders>
          </w:tcPr>
          <w:p w14:paraId="3DA54F6B">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r>
      <w:tr w14:paraId="01644FB4">
        <w:tblPrEx>
          <w:tblCellMar>
            <w:top w:w="0" w:type="dxa"/>
            <w:left w:w="0" w:type="dxa"/>
            <w:bottom w:w="0" w:type="dxa"/>
            <w:right w:w="0" w:type="dxa"/>
          </w:tblCellMar>
        </w:tblPrEx>
        <w:trPr>
          <w:trHeight w:val="70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64D9B0DC">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2006" w:type="pct"/>
            <w:gridSpan w:val="4"/>
            <w:tcBorders>
              <w:top w:val="single" w:color="000000" w:sz="4" w:space="0"/>
              <w:left w:val="nil"/>
              <w:bottom w:val="single" w:color="000000" w:sz="4" w:space="0"/>
              <w:right w:val="single" w:color="000000" w:sz="4" w:space="0"/>
            </w:tcBorders>
          </w:tcPr>
          <w:p w14:paraId="64D60B40">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739" w:type="pct"/>
            <w:tcBorders>
              <w:top w:val="single" w:color="000000" w:sz="4" w:space="0"/>
              <w:left w:val="nil"/>
              <w:bottom w:val="single" w:color="000000" w:sz="4" w:space="0"/>
              <w:right w:val="single" w:color="000000" w:sz="4" w:space="0"/>
            </w:tcBorders>
          </w:tcPr>
          <w:p w14:paraId="45739390">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1348" w:type="pct"/>
            <w:gridSpan w:val="2"/>
            <w:tcBorders>
              <w:top w:val="single" w:color="000000" w:sz="4" w:space="0"/>
              <w:left w:val="nil"/>
              <w:bottom w:val="single" w:color="000000" w:sz="4" w:space="0"/>
              <w:right w:val="single" w:color="000000" w:sz="4" w:space="0"/>
            </w:tcBorders>
          </w:tcPr>
          <w:p w14:paraId="3EA5AAEC">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r>
      <w:tr w14:paraId="45FBFF39">
        <w:tblPrEx>
          <w:tblCellMar>
            <w:top w:w="0" w:type="dxa"/>
            <w:left w:w="0" w:type="dxa"/>
            <w:bottom w:w="0" w:type="dxa"/>
            <w:right w:w="0" w:type="dxa"/>
          </w:tblCellMar>
        </w:tblPrEx>
        <w:trPr>
          <w:trHeight w:val="701"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0325A255">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2006" w:type="pct"/>
            <w:gridSpan w:val="4"/>
            <w:tcBorders>
              <w:top w:val="single" w:color="000000" w:sz="4" w:space="0"/>
              <w:left w:val="nil"/>
              <w:bottom w:val="single" w:color="000000" w:sz="4" w:space="0"/>
              <w:right w:val="single" w:color="000000" w:sz="4" w:space="0"/>
            </w:tcBorders>
          </w:tcPr>
          <w:p w14:paraId="79B97D20">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739" w:type="pct"/>
            <w:tcBorders>
              <w:top w:val="single" w:color="000000" w:sz="4" w:space="0"/>
              <w:left w:val="nil"/>
              <w:bottom w:val="single" w:color="000000" w:sz="4" w:space="0"/>
              <w:right w:val="single" w:color="000000" w:sz="4" w:space="0"/>
            </w:tcBorders>
          </w:tcPr>
          <w:p w14:paraId="2593E3CA">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1348" w:type="pct"/>
            <w:gridSpan w:val="2"/>
            <w:tcBorders>
              <w:top w:val="single" w:color="000000" w:sz="4" w:space="0"/>
              <w:left w:val="nil"/>
              <w:bottom w:val="single" w:color="000000" w:sz="4" w:space="0"/>
              <w:right w:val="single" w:color="000000" w:sz="4" w:space="0"/>
            </w:tcBorders>
          </w:tcPr>
          <w:p w14:paraId="2DD278ED">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r>
      <w:tr w14:paraId="04CC8CE9">
        <w:tblPrEx>
          <w:tblCellMar>
            <w:top w:w="0" w:type="dxa"/>
            <w:left w:w="0" w:type="dxa"/>
            <w:bottom w:w="0" w:type="dxa"/>
            <w:right w:w="0" w:type="dxa"/>
          </w:tblCellMar>
        </w:tblPrEx>
        <w:trPr>
          <w:trHeight w:val="70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198BDBFC">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2006" w:type="pct"/>
            <w:gridSpan w:val="4"/>
            <w:tcBorders>
              <w:top w:val="single" w:color="000000" w:sz="4" w:space="0"/>
              <w:left w:val="nil"/>
              <w:bottom w:val="single" w:color="000000" w:sz="4" w:space="0"/>
              <w:right w:val="single" w:color="000000" w:sz="4" w:space="0"/>
            </w:tcBorders>
          </w:tcPr>
          <w:p w14:paraId="0EAAD6FE">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739" w:type="pct"/>
            <w:tcBorders>
              <w:top w:val="single" w:color="000000" w:sz="4" w:space="0"/>
              <w:left w:val="nil"/>
              <w:bottom w:val="single" w:color="000000" w:sz="4" w:space="0"/>
              <w:right w:val="single" w:color="000000" w:sz="4" w:space="0"/>
            </w:tcBorders>
          </w:tcPr>
          <w:p w14:paraId="29871F22">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1348" w:type="pct"/>
            <w:gridSpan w:val="2"/>
            <w:tcBorders>
              <w:top w:val="single" w:color="000000" w:sz="4" w:space="0"/>
              <w:left w:val="nil"/>
              <w:bottom w:val="single" w:color="000000" w:sz="4" w:space="0"/>
              <w:right w:val="single" w:color="000000" w:sz="4" w:space="0"/>
            </w:tcBorders>
          </w:tcPr>
          <w:p w14:paraId="731A83AD">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r>
      <w:tr w14:paraId="464235FB">
        <w:tblPrEx>
          <w:tblCellMar>
            <w:top w:w="0" w:type="dxa"/>
            <w:left w:w="0" w:type="dxa"/>
            <w:bottom w:w="0" w:type="dxa"/>
            <w:right w:w="0" w:type="dxa"/>
          </w:tblCellMar>
        </w:tblPrEx>
        <w:trPr>
          <w:trHeight w:val="70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7986D2E2">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2006" w:type="pct"/>
            <w:gridSpan w:val="4"/>
            <w:tcBorders>
              <w:top w:val="single" w:color="000000" w:sz="4" w:space="0"/>
              <w:left w:val="nil"/>
              <w:bottom w:val="single" w:color="000000" w:sz="4" w:space="0"/>
              <w:right w:val="single" w:color="000000" w:sz="4" w:space="0"/>
            </w:tcBorders>
          </w:tcPr>
          <w:p w14:paraId="40F8C303">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739" w:type="pct"/>
            <w:tcBorders>
              <w:top w:val="single" w:color="000000" w:sz="4" w:space="0"/>
              <w:left w:val="nil"/>
              <w:bottom w:val="single" w:color="000000" w:sz="4" w:space="0"/>
              <w:right w:val="single" w:color="000000" w:sz="4" w:space="0"/>
            </w:tcBorders>
          </w:tcPr>
          <w:p w14:paraId="0692AE11">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1348" w:type="pct"/>
            <w:gridSpan w:val="2"/>
            <w:tcBorders>
              <w:top w:val="single" w:color="000000" w:sz="4" w:space="0"/>
              <w:left w:val="nil"/>
              <w:bottom w:val="single" w:color="000000" w:sz="4" w:space="0"/>
              <w:right w:val="single" w:color="000000" w:sz="4" w:space="0"/>
            </w:tcBorders>
          </w:tcPr>
          <w:p w14:paraId="0F957C5E">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r>
      <w:tr w14:paraId="747D2521">
        <w:tblPrEx>
          <w:tblCellMar>
            <w:top w:w="0" w:type="dxa"/>
            <w:left w:w="0" w:type="dxa"/>
            <w:bottom w:w="0" w:type="dxa"/>
            <w:right w:w="0" w:type="dxa"/>
          </w:tblCellMar>
        </w:tblPrEx>
        <w:trPr>
          <w:trHeight w:val="701"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411AE899">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2006" w:type="pct"/>
            <w:gridSpan w:val="4"/>
            <w:tcBorders>
              <w:top w:val="single" w:color="000000" w:sz="4" w:space="0"/>
              <w:left w:val="nil"/>
              <w:bottom w:val="single" w:color="000000" w:sz="4" w:space="0"/>
              <w:right w:val="single" w:color="000000" w:sz="4" w:space="0"/>
            </w:tcBorders>
          </w:tcPr>
          <w:p w14:paraId="65234CA7">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739" w:type="pct"/>
            <w:tcBorders>
              <w:top w:val="single" w:color="000000" w:sz="4" w:space="0"/>
              <w:left w:val="nil"/>
              <w:bottom w:val="single" w:color="000000" w:sz="4" w:space="0"/>
              <w:right w:val="single" w:color="000000" w:sz="4" w:space="0"/>
            </w:tcBorders>
          </w:tcPr>
          <w:p w14:paraId="21F9D1D2">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1348" w:type="pct"/>
            <w:gridSpan w:val="2"/>
            <w:tcBorders>
              <w:top w:val="single" w:color="000000" w:sz="4" w:space="0"/>
              <w:left w:val="nil"/>
              <w:bottom w:val="single" w:color="000000" w:sz="4" w:space="0"/>
              <w:right w:val="single" w:color="000000" w:sz="4" w:space="0"/>
            </w:tcBorders>
          </w:tcPr>
          <w:p w14:paraId="1158FB19">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r>
    </w:tbl>
    <w:p w14:paraId="4D45F129">
      <w:pPr>
        <w:pageBreakBefore w:val="0"/>
        <w:kinsoku/>
        <w:overflowPunct/>
        <w:topLinePunct w:val="0"/>
        <w:bidi w:val="0"/>
        <w:outlineLvl w:val="9"/>
        <w:rPr>
          <w:rFonts w:hint="eastAsia" w:ascii="宋体" w:hAnsi="宋体" w:eastAsia="宋体" w:cs="宋体"/>
          <w:kern w:val="0"/>
          <w:sz w:val="24"/>
          <w:szCs w:val="24"/>
          <w:highlight w:val="none"/>
        </w:rPr>
      </w:pPr>
    </w:p>
    <w:p w14:paraId="2BE7313F">
      <w:pPr>
        <w:pageBreakBefore w:val="0"/>
        <w:kinsoku/>
        <w:overflowPunct/>
        <w:topLinePunct w:val="0"/>
        <w:autoSpaceDE w:val="0"/>
        <w:autoSpaceDN w:val="0"/>
        <w:bidi w:val="0"/>
        <w:adjustRightInd w:val="0"/>
        <w:spacing w:line="520" w:lineRule="exact"/>
        <w:jc w:val="left"/>
        <w:outlineLvl w:val="9"/>
        <w:rPr>
          <w:rFonts w:hint="eastAsia" w:ascii="宋体" w:hAnsi="宋体" w:eastAsia="宋体" w:cs="宋体"/>
          <w:kern w:val="0"/>
          <w:sz w:val="24"/>
          <w:szCs w:val="24"/>
          <w:highlight w:val="none"/>
        </w:rPr>
      </w:pPr>
    </w:p>
    <w:p w14:paraId="29BF93D9">
      <w:pPr>
        <w:pageBreakBefore w:val="0"/>
        <w:kinsoku/>
        <w:overflowPunct/>
        <w:topLinePunct w:val="0"/>
        <w:bidi w:val="0"/>
        <w:outlineLvl w:val="9"/>
        <w:rPr>
          <w:rFonts w:hint="eastAsia" w:ascii="宋体" w:hAnsi="宋体" w:eastAsia="宋体" w:cs="宋体"/>
          <w:szCs w:val="21"/>
          <w:highlight w:val="none"/>
        </w:rPr>
      </w:pPr>
    </w:p>
    <w:p w14:paraId="79E349BC">
      <w:pPr>
        <w:pageBreakBefore w:val="0"/>
        <w:kinsoku/>
        <w:overflowPunct/>
        <w:topLinePunct w:val="0"/>
        <w:bidi w:val="0"/>
        <w:spacing w:line="360" w:lineRule="auto"/>
        <w:ind w:firstLine="200"/>
        <w:jc w:val="left"/>
        <w:outlineLvl w:val="9"/>
        <w:rPr>
          <w:rFonts w:hint="eastAsia" w:ascii="宋体" w:hAnsi="宋体" w:eastAsia="宋体" w:cs="宋体"/>
          <w:bCs/>
          <w:kern w:val="0"/>
          <w:sz w:val="24"/>
          <w:szCs w:val="24"/>
          <w:highlight w:val="none"/>
        </w:rPr>
      </w:pPr>
    </w:p>
    <w:p w14:paraId="2E139F3F">
      <w:pPr>
        <w:pageBreakBefore w:val="0"/>
        <w:kinsoku/>
        <w:overflowPunct/>
        <w:topLinePunct w:val="0"/>
        <w:bidi w:val="0"/>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41D13E3A">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七</w:t>
      </w:r>
      <w:r>
        <w:rPr>
          <w:rFonts w:hint="eastAsia" w:ascii="宋体" w:hAnsi="宋体" w:eastAsia="宋体" w:cs="宋体"/>
          <w:b/>
          <w:bCs/>
          <w:sz w:val="32"/>
          <w:szCs w:val="32"/>
          <w:highlight w:val="none"/>
          <w:lang w:eastAsia="zh-CN"/>
        </w:rPr>
        <w:t>、</w:t>
      </w:r>
      <w:r>
        <w:rPr>
          <w:rFonts w:hint="eastAsia" w:ascii="宋体" w:hAnsi="宋体" w:eastAsia="宋体" w:cs="宋体"/>
          <w:b/>
          <w:bCs/>
          <w:sz w:val="32"/>
          <w:szCs w:val="32"/>
          <w:highlight w:val="none"/>
        </w:rPr>
        <w:t>业绩证明材料</w:t>
      </w:r>
    </w:p>
    <w:p w14:paraId="75365E21">
      <w:pPr>
        <w:pageBreakBefore w:val="0"/>
        <w:kinsoku/>
        <w:overflowPunct/>
        <w:topLinePunct w:val="0"/>
        <w:bidi w:val="0"/>
        <w:outlineLvl w:val="9"/>
        <w:rPr>
          <w:rFonts w:hint="eastAsia" w:ascii="宋体" w:hAnsi="宋体" w:eastAsia="宋体" w:cs="宋体"/>
          <w:sz w:val="24"/>
          <w:szCs w:val="24"/>
          <w:highlight w:val="none"/>
        </w:rPr>
      </w:pPr>
    </w:p>
    <w:p w14:paraId="047419EA">
      <w:pPr>
        <w:pageBreakBefore w:val="0"/>
        <w:kinsoku/>
        <w:overflowPunct/>
        <w:topLinePunct w:val="0"/>
        <w:bidi w:val="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近年完成的类似项目汇总表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91"/>
        <w:gridCol w:w="7028"/>
      </w:tblGrid>
      <w:tr w14:paraId="7A2EA6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91" w:type="dxa"/>
            <w:tcBorders>
              <w:top w:val="single" w:color="auto" w:sz="12" w:space="0"/>
              <w:left w:val="single" w:color="auto" w:sz="12" w:space="0"/>
              <w:bottom w:val="single" w:color="auto" w:sz="6" w:space="0"/>
              <w:right w:val="single" w:color="auto" w:sz="6" w:space="0"/>
            </w:tcBorders>
            <w:vAlign w:val="center"/>
          </w:tcPr>
          <w:p w14:paraId="3D961C4F">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7028" w:type="dxa"/>
            <w:tcBorders>
              <w:top w:val="single" w:color="auto" w:sz="12" w:space="0"/>
              <w:left w:val="single" w:color="auto" w:sz="6" w:space="0"/>
              <w:bottom w:val="single" w:color="auto" w:sz="6" w:space="0"/>
              <w:right w:val="single" w:color="auto" w:sz="12" w:space="0"/>
            </w:tcBorders>
            <w:vAlign w:val="center"/>
          </w:tcPr>
          <w:p w14:paraId="5614A35F">
            <w:pPr>
              <w:pageBreakBefore w:val="0"/>
              <w:kinsoku/>
              <w:overflowPunct/>
              <w:topLinePunct w:val="0"/>
              <w:bidi w:val="0"/>
              <w:outlineLvl w:val="9"/>
              <w:rPr>
                <w:rFonts w:hint="eastAsia" w:ascii="宋体" w:hAnsi="宋体" w:eastAsia="宋体" w:cs="宋体"/>
                <w:sz w:val="24"/>
                <w:szCs w:val="24"/>
                <w:highlight w:val="none"/>
              </w:rPr>
            </w:pPr>
          </w:p>
        </w:tc>
      </w:tr>
      <w:tr w14:paraId="389EE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91" w:type="dxa"/>
            <w:tcBorders>
              <w:top w:val="single" w:color="auto" w:sz="6" w:space="0"/>
              <w:left w:val="single" w:color="auto" w:sz="12" w:space="0"/>
              <w:bottom w:val="single" w:color="auto" w:sz="6" w:space="0"/>
              <w:right w:val="single" w:color="auto" w:sz="6" w:space="0"/>
            </w:tcBorders>
            <w:vAlign w:val="center"/>
          </w:tcPr>
          <w:p w14:paraId="5F65AB8B">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项目所在地</w:t>
            </w:r>
          </w:p>
        </w:tc>
        <w:tc>
          <w:tcPr>
            <w:tcW w:w="7028" w:type="dxa"/>
            <w:tcBorders>
              <w:top w:val="single" w:color="auto" w:sz="6" w:space="0"/>
              <w:left w:val="single" w:color="auto" w:sz="6" w:space="0"/>
              <w:bottom w:val="single" w:color="auto" w:sz="6" w:space="0"/>
              <w:right w:val="single" w:color="auto" w:sz="12" w:space="0"/>
            </w:tcBorders>
            <w:vAlign w:val="center"/>
          </w:tcPr>
          <w:p w14:paraId="52BBE8F1">
            <w:pPr>
              <w:pageBreakBefore w:val="0"/>
              <w:kinsoku/>
              <w:overflowPunct/>
              <w:topLinePunct w:val="0"/>
              <w:bidi w:val="0"/>
              <w:outlineLvl w:val="9"/>
              <w:rPr>
                <w:rFonts w:hint="eastAsia" w:ascii="宋体" w:hAnsi="宋体" w:eastAsia="宋体" w:cs="宋体"/>
                <w:sz w:val="24"/>
                <w:szCs w:val="24"/>
                <w:highlight w:val="none"/>
              </w:rPr>
            </w:pPr>
          </w:p>
        </w:tc>
      </w:tr>
      <w:tr w14:paraId="1B6D23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91" w:type="dxa"/>
            <w:tcBorders>
              <w:top w:val="single" w:color="auto" w:sz="6" w:space="0"/>
              <w:left w:val="single" w:color="auto" w:sz="12" w:space="0"/>
              <w:bottom w:val="single" w:color="auto" w:sz="6" w:space="0"/>
              <w:right w:val="single" w:color="auto" w:sz="6" w:space="0"/>
            </w:tcBorders>
            <w:vAlign w:val="center"/>
          </w:tcPr>
          <w:p w14:paraId="0606F4DA">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发包人名称</w:t>
            </w:r>
          </w:p>
        </w:tc>
        <w:tc>
          <w:tcPr>
            <w:tcW w:w="7028" w:type="dxa"/>
            <w:tcBorders>
              <w:top w:val="single" w:color="auto" w:sz="6" w:space="0"/>
              <w:left w:val="single" w:color="auto" w:sz="6" w:space="0"/>
              <w:bottom w:val="single" w:color="auto" w:sz="6" w:space="0"/>
              <w:right w:val="single" w:color="auto" w:sz="12" w:space="0"/>
            </w:tcBorders>
            <w:vAlign w:val="center"/>
          </w:tcPr>
          <w:p w14:paraId="259F36E4">
            <w:pPr>
              <w:pageBreakBefore w:val="0"/>
              <w:kinsoku/>
              <w:overflowPunct/>
              <w:topLinePunct w:val="0"/>
              <w:bidi w:val="0"/>
              <w:outlineLvl w:val="9"/>
              <w:rPr>
                <w:rFonts w:hint="eastAsia" w:ascii="宋体" w:hAnsi="宋体" w:eastAsia="宋体" w:cs="宋体"/>
                <w:sz w:val="24"/>
                <w:szCs w:val="24"/>
                <w:highlight w:val="none"/>
              </w:rPr>
            </w:pPr>
          </w:p>
        </w:tc>
      </w:tr>
      <w:tr w14:paraId="33A44E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91" w:type="dxa"/>
            <w:tcBorders>
              <w:top w:val="single" w:color="auto" w:sz="6" w:space="0"/>
              <w:left w:val="single" w:color="auto" w:sz="12" w:space="0"/>
              <w:bottom w:val="single" w:color="auto" w:sz="6" w:space="0"/>
              <w:right w:val="single" w:color="auto" w:sz="6" w:space="0"/>
            </w:tcBorders>
            <w:vAlign w:val="center"/>
          </w:tcPr>
          <w:p w14:paraId="323302BE">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发包人地址</w:t>
            </w:r>
          </w:p>
        </w:tc>
        <w:tc>
          <w:tcPr>
            <w:tcW w:w="7028" w:type="dxa"/>
            <w:tcBorders>
              <w:top w:val="single" w:color="auto" w:sz="6" w:space="0"/>
              <w:left w:val="single" w:color="auto" w:sz="6" w:space="0"/>
              <w:bottom w:val="single" w:color="auto" w:sz="6" w:space="0"/>
              <w:right w:val="single" w:color="auto" w:sz="12" w:space="0"/>
            </w:tcBorders>
            <w:vAlign w:val="center"/>
          </w:tcPr>
          <w:p w14:paraId="5B3ADA66">
            <w:pPr>
              <w:pageBreakBefore w:val="0"/>
              <w:kinsoku/>
              <w:overflowPunct/>
              <w:topLinePunct w:val="0"/>
              <w:bidi w:val="0"/>
              <w:outlineLvl w:val="9"/>
              <w:rPr>
                <w:rFonts w:hint="eastAsia" w:ascii="宋体" w:hAnsi="宋体" w:eastAsia="宋体" w:cs="宋体"/>
                <w:sz w:val="24"/>
                <w:szCs w:val="24"/>
                <w:highlight w:val="none"/>
              </w:rPr>
            </w:pPr>
          </w:p>
        </w:tc>
      </w:tr>
      <w:tr w14:paraId="0B542B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91" w:type="dxa"/>
            <w:tcBorders>
              <w:top w:val="single" w:color="auto" w:sz="6" w:space="0"/>
              <w:left w:val="single" w:color="auto" w:sz="12" w:space="0"/>
              <w:bottom w:val="single" w:color="auto" w:sz="6" w:space="0"/>
              <w:right w:val="single" w:color="auto" w:sz="6" w:space="0"/>
            </w:tcBorders>
            <w:vAlign w:val="center"/>
          </w:tcPr>
          <w:p w14:paraId="303B04B6">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发包人电话</w:t>
            </w:r>
          </w:p>
        </w:tc>
        <w:tc>
          <w:tcPr>
            <w:tcW w:w="7028" w:type="dxa"/>
            <w:tcBorders>
              <w:top w:val="single" w:color="auto" w:sz="6" w:space="0"/>
              <w:left w:val="single" w:color="auto" w:sz="6" w:space="0"/>
              <w:bottom w:val="single" w:color="auto" w:sz="6" w:space="0"/>
              <w:right w:val="single" w:color="auto" w:sz="12" w:space="0"/>
            </w:tcBorders>
            <w:vAlign w:val="center"/>
          </w:tcPr>
          <w:p w14:paraId="1E9971E4">
            <w:pPr>
              <w:pageBreakBefore w:val="0"/>
              <w:kinsoku/>
              <w:overflowPunct/>
              <w:topLinePunct w:val="0"/>
              <w:bidi w:val="0"/>
              <w:outlineLvl w:val="9"/>
              <w:rPr>
                <w:rFonts w:hint="eastAsia" w:ascii="宋体" w:hAnsi="宋体" w:eastAsia="宋体" w:cs="宋体"/>
                <w:sz w:val="24"/>
                <w:szCs w:val="24"/>
                <w:highlight w:val="none"/>
              </w:rPr>
            </w:pPr>
          </w:p>
        </w:tc>
      </w:tr>
      <w:tr w14:paraId="6B80A9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91" w:type="dxa"/>
            <w:tcBorders>
              <w:top w:val="single" w:color="auto" w:sz="6" w:space="0"/>
              <w:left w:val="single" w:color="auto" w:sz="12" w:space="0"/>
              <w:bottom w:val="single" w:color="auto" w:sz="6" w:space="0"/>
              <w:right w:val="single" w:color="auto" w:sz="6" w:space="0"/>
            </w:tcBorders>
            <w:vAlign w:val="center"/>
          </w:tcPr>
          <w:p w14:paraId="11152AE4">
            <w:pPr>
              <w:pageBreakBefore w:val="0"/>
              <w:kinsoku/>
              <w:overflowPunct/>
              <w:topLinePunct w:val="0"/>
              <w:bidi w:val="0"/>
              <w:jc w:val="center"/>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合同签订日期</w:t>
            </w:r>
          </w:p>
        </w:tc>
        <w:tc>
          <w:tcPr>
            <w:tcW w:w="7028" w:type="dxa"/>
            <w:tcBorders>
              <w:top w:val="single" w:color="auto" w:sz="6" w:space="0"/>
              <w:left w:val="single" w:color="auto" w:sz="6" w:space="0"/>
              <w:bottom w:val="single" w:color="auto" w:sz="6" w:space="0"/>
              <w:right w:val="single" w:color="auto" w:sz="12" w:space="0"/>
            </w:tcBorders>
            <w:vAlign w:val="center"/>
          </w:tcPr>
          <w:p w14:paraId="10F748F3">
            <w:pPr>
              <w:pageBreakBefore w:val="0"/>
              <w:kinsoku/>
              <w:overflowPunct/>
              <w:topLinePunct w:val="0"/>
              <w:bidi w:val="0"/>
              <w:outlineLvl w:val="9"/>
              <w:rPr>
                <w:rFonts w:hint="eastAsia" w:ascii="宋体" w:hAnsi="宋体" w:eastAsia="宋体" w:cs="宋体"/>
                <w:sz w:val="24"/>
                <w:szCs w:val="24"/>
                <w:highlight w:val="none"/>
              </w:rPr>
            </w:pPr>
          </w:p>
        </w:tc>
      </w:tr>
      <w:tr w14:paraId="5707AE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91" w:type="dxa"/>
            <w:tcBorders>
              <w:top w:val="single" w:color="auto" w:sz="6" w:space="0"/>
              <w:left w:val="single" w:color="auto" w:sz="12" w:space="0"/>
              <w:bottom w:val="single" w:color="auto" w:sz="6" w:space="0"/>
              <w:right w:val="single" w:color="auto" w:sz="6" w:space="0"/>
            </w:tcBorders>
            <w:vAlign w:val="center"/>
          </w:tcPr>
          <w:p w14:paraId="37B748E0">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合同价格</w:t>
            </w:r>
          </w:p>
        </w:tc>
        <w:tc>
          <w:tcPr>
            <w:tcW w:w="7028" w:type="dxa"/>
            <w:tcBorders>
              <w:top w:val="single" w:color="auto" w:sz="6" w:space="0"/>
              <w:left w:val="single" w:color="auto" w:sz="6" w:space="0"/>
              <w:bottom w:val="single" w:color="auto" w:sz="6" w:space="0"/>
              <w:right w:val="single" w:color="auto" w:sz="12" w:space="0"/>
            </w:tcBorders>
            <w:vAlign w:val="center"/>
          </w:tcPr>
          <w:p w14:paraId="0C8CDC3B">
            <w:pPr>
              <w:pageBreakBefore w:val="0"/>
              <w:kinsoku/>
              <w:overflowPunct/>
              <w:topLinePunct w:val="0"/>
              <w:bidi w:val="0"/>
              <w:outlineLvl w:val="9"/>
              <w:rPr>
                <w:rFonts w:hint="eastAsia" w:ascii="宋体" w:hAnsi="宋体" w:eastAsia="宋体" w:cs="宋体"/>
                <w:sz w:val="24"/>
                <w:szCs w:val="24"/>
                <w:highlight w:val="none"/>
              </w:rPr>
            </w:pPr>
          </w:p>
        </w:tc>
      </w:tr>
      <w:tr w14:paraId="022570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91" w:type="dxa"/>
            <w:tcBorders>
              <w:top w:val="single" w:color="auto" w:sz="6" w:space="0"/>
              <w:left w:val="single" w:color="auto" w:sz="12" w:space="0"/>
              <w:bottom w:val="single" w:color="auto" w:sz="6" w:space="0"/>
              <w:right w:val="single" w:color="auto" w:sz="6" w:space="0"/>
            </w:tcBorders>
            <w:vAlign w:val="center"/>
          </w:tcPr>
          <w:p w14:paraId="50A58F82">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开工日期</w:t>
            </w:r>
          </w:p>
        </w:tc>
        <w:tc>
          <w:tcPr>
            <w:tcW w:w="7028" w:type="dxa"/>
            <w:tcBorders>
              <w:top w:val="single" w:color="auto" w:sz="6" w:space="0"/>
              <w:left w:val="single" w:color="auto" w:sz="6" w:space="0"/>
              <w:bottom w:val="single" w:color="auto" w:sz="6" w:space="0"/>
              <w:right w:val="single" w:color="auto" w:sz="12" w:space="0"/>
            </w:tcBorders>
            <w:vAlign w:val="center"/>
          </w:tcPr>
          <w:p w14:paraId="0CD68402">
            <w:pPr>
              <w:pageBreakBefore w:val="0"/>
              <w:kinsoku/>
              <w:overflowPunct/>
              <w:topLinePunct w:val="0"/>
              <w:bidi w:val="0"/>
              <w:outlineLvl w:val="9"/>
              <w:rPr>
                <w:rFonts w:hint="eastAsia" w:ascii="宋体" w:hAnsi="宋体" w:eastAsia="宋体" w:cs="宋体"/>
                <w:sz w:val="24"/>
                <w:szCs w:val="24"/>
                <w:highlight w:val="none"/>
              </w:rPr>
            </w:pPr>
          </w:p>
        </w:tc>
      </w:tr>
      <w:tr w14:paraId="25DEEC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91" w:type="dxa"/>
            <w:tcBorders>
              <w:top w:val="single" w:color="auto" w:sz="6" w:space="0"/>
              <w:left w:val="single" w:color="auto" w:sz="12" w:space="0"/>
              <w:bottom w:val="single" w:color="auto" w:sz="6" w:space="0"/>
              <w:right w:val="single" w:color="auto" w:sz="6" w:space="0"/>
            </w:tcBorders>
            <w:vAlign w:val="center"/>
          </w:tcPr>
          <w:p w14:paraId="3F4A2E75">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交工日期</w:t>
            </w:r>
          </w:p>
        </w:tc>
        <w:tc>
          <w:tcPr>
            <w:tcW w:w="7028" w:type="dxa"/>
            <w:tcBorders>
              <w:top w:val="single" w:color="auto" w:sz="6" w:space="0"/>
              <w:left w:val="single" w:color="auto" w:sz="6" w:space="0"/>
              <w:bottom w:val="single" w:color="auto" w:sz="6" w:space="0"/>
              <w:right w:val="single" w:color="auto" w:sz="12" w:space="0"/>
            </w:tcBorders>
            <w:vAlign w:val="center"/>
          </w:tcPr>
          <w:p w14:paraId="3BAD7155">
            <w:pPr>
              <w:pageBreakBefore w:val="0"/>
              <w:kinsoku/>
              <w:overflowPunct/>
              <w:topLinePunct w:val="0"/>
              <w:bidi w:val="0"/>
              <w:outlineLvl w:val="9"/>
              <w:rPr>
                <w:rFonts w:hint="eastAsia" w:ascii="宋体" w:hAnsi="宋体" w:eastAsia="宋体" w:cs="宋体"/>
                <w:sz w:val="24"/>
                <w:szCs w:val="24"/>
                <w:highlight w:val="none"/>
              </w:rPr>
            </w:pPr>
          </w:p>
        </w:tc>
      </w:tr>
      <w:tr w14:paraId="7D792E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91" w:type="dxa"/>
            <w:tcBorders>
              <w:top w:val="single" w:color="auto" w:sz="6" w:space="0"/>
              <w:left w:val="single" w:color="auto" w:sz="12" w:space="0"/>
              <w:bottom w:val="single" w:color="auto" w:sz="6" w:space="0"/>
              <w:right w:val="single" w:color="auto" w:sz="6" w:space="0"/>
            </w:tcBorders>
            <w:vAlign w:val="center"/>
          </w:tcPr>
          <w:p w14:paraId="2C9E6334">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承担的工作</w:t>
            </w:r>
          </w:p>
        </w:tc>
        <w:tc>
          <w:tcPr>
            <w:tcW w:w="7028" w:type="dxa"/>
            <w:tcBorders>
              <w:top w:val="single" w:color="auto" w:sz="6" w:space="0"/>
              <w:left w:val="single" w:color="auto" w:sz="6" w:space="0"/>
              <w:bottom w:val="single" w:color="auto" w:sz="6" w:space="0"/>
              <w:right w:val="single" w:color="auto" w:sz="12" w:space="0"/>
            </w:tcBorders>
            <w:vAlign w:val="center"/>
          </w:tcPr>
          <w:p w14:paraId="2BFEC066">
            <w:pPr>
              <w:pageBreakBefore w:val="0"/>
              <w:kinsoku/>
              <w:overflowPunct/>
              <w:topLinePunct w:val="0"/>
              <w:bidi w:val="0"/>
              <w:outlineLvl w:val="9"/>
              <w:rPr>
                <w:rFonts w:hint="eastAsia" w:ascii="宋体" w:hAnsi="宋体" w:eastAsia="宋体" w:cs="宋体"/>
                <w:sz w:val="24"/>
                <w:szCs w:val="24"/>
                <w:highlight w:val="none"/>
              </w:rPr>
            </w:pPr>
          </w:p>
        </w:tc>
      </w:tr>
      <w:tr w14:paraId="3B231A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91" w:type="dxa"/>
            <w:tcBorders>
              <w:top w:val="single" w:color="auto" w:sz="6" w:space="0"/>
              <w:left w:val="single" w:color="auto" w:sz="12" w:space="0"/>
              <w:bottom w:val="single" w:color="auto" w:sz="6" w:space="0"/>
              <w:right w:val="single" w:color="auto" w:sz="6" w:space="0"/>
            </w:tcBorders>
            <w:vAlign w:val="center"/>
          </w:tcPr>
          <w:p w14:paraId="4E5F0648">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工程质量</w:t>
            </w:r>
          </w:p>
        </w:tc>
        <w:tc>
          <w:tcPr>
            <w:tcW w:w="7028" w:type="dxa"/>
            <w:tcBorders>
              <w:top w:val="single" w:color="auto" w:sz="6" w:space="0"/>
              <w:left w:val="single" w:color="auto" w:sz="6" w:space="0"/>
              <w:bottom w:val="single" w:color="auto" w:sz="6" w:space="0"/>
              <w:right w:val="single" w:color="auto" w:sz="12" w:space="0"/>
            </w:tcBorders>
            <w:vAlign w:val="center"/>
          </w:tcPr>
          <w:p w14:paraId="4A5AF6A5">
            <w:pPr>
              <w:pageBreakBefore w:val="0"/>
              <w:kinsoku/>
              <w:overflowPunct/>
              <w:topLinePunct w:val="0"/>
              <w:bidi w:val="0"/>
              <w:outlineLvl w:val="9"/>
              <w:rPr>
                <w:rFonts w:hint="eastAsia" w:ascii="宋体" w:hAnsi="宋体" w:eastAsia="宋体" w:cs="宋体"/>
                <w:sz w:val="24"/>
                <w:szCs w:val="24"/>
                <w:highlight w:val="none"/>
              </w:rPr>
            </w:pPr>
          </w:p>
        </w:tc>
      </w:tr>
      <w:tr w14:paraId="2E421D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91" w:type="dxa"/>
            <w:tcBorders>
              <w:top w:val="single" w:color="auto" w:sz="6" w:space="0"/>
              <w:left w:val="single" w:color="auto" w:sz="12" w:space="0"/>
              <w:bottom w:val="single" w:color="auto" w:sz="6" w:space="0"/>
              <w:right w:val="single" w:color="auto" w:sz="6" w:space="0"/>
            </w:tcBorders>
            <w:vAlign w:val="center"/>
          </w:tcPr>
          <w:p w14:paraId="2C005652">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项目经理</w:t>
            </w:r>
          </w:p>
        </w:tc>
        <w:tc>
          <w:tcPr>
            <w:tcW w:w="7028" w:type="dxa"/>
            <w:tcBorders>
              <w:top w:val="single" w:color="auto" w:sz="6" w:space="0"/>
              <w:left w:val="single" w:color="auto" w:sz="6" w:space="0"/>
              <w:bottom w:val="single" w:color="auto" w:sz="6" w:space="0"/>
              <w:right w:val="single" w:color="auto" w:sz="12" w:space="0"/>
            </w:tcBorders>
            <w:vAlign w:val="center"/>
          </w:tcPr>
          <w:p w14:paraId="4BED1744">
            <w:pPr>
              <w:pageBreakBefore w:val="0"/>
              <w:kinsoku/>
              <w:overflowPunct/>
              <w:topLinePunct w:val="0"/>
              <w:bidi w:val="0"/>
              <w:outlineLvl w:val="9"/>
              <w:rPr>
                <w:rFonts w:hint="eastAsia" w:ascii="宋体" w:hAnsi="宋体" w:eastAsia="宋体" w:cs="宋体"/>
                <w:sz w:val="24"/>
                <w:szCs w:val="24"/>
                <w:highlight w:val="none"/>
              </w:rPr>
            </w:pPr>
          </w:p>
        </w:tc>
      </w:tr>
      <w:tr w14:paraId="443BD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91" w:type="dxa"/>
            <w:tcBorders>
              <w:top w:val="single" w:color="auto" w:sz="6" w:space="0"/>
              <w:left w:val="single" w:color="auto" w:sz="12" w:space="0"/>
              <w:bottom w:val="single" w:color="auto" w:sz="6" w:space="0"/>
              <w:right w:val="single" w:color="auto" w:sz="6" w:space="0"/>
            </w:tcBorders>
            <w:vAlign w:val="center"/>
          </w:tcPr>
          <w:p w14:paraId="25A7F7D8">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总监理工程师及电话</w:t>
            </w:r>
          </w:p>
        </w:tc>
        <w:tc>
          <w:tcPr>
            <w:tcW w:w="7028" w:type="dxa"/>
            <w:tcBorders>
              <w:top w:val="single" w:color="auto" w:sz="6" w:space="0"/>
              <w:left w:val="single" w:color="auto" w:sz="6" w:space="0"/>
              <w:bottom w:val="single" w:color="auto" w:sz="6" w:space="0"/>
              <w:right w:val="single" w:color="auto" w:sz="12" w:space="0"/>
            </w:tcBorders>
            <w:vAlign w:val="center"/>
          </w:tcPr>
          <w:p w14:paraId="7472175F">
            <w:pPr>
              <w:pageBreakBefore w:val="0"/>
              <w:kinsoku/>
              <w:overflowPunct/>
              <w:topLinePunct w:val="0"/>
              <w:bidi w:val="0"/>
              <w:outlineLvl w:val="9"/>
              <w:rPr>
                <w:rFonts w:hint="eastAsia" w:ascii="宋体" w:hAnsi="宋体" w:eastAsia="宋体" w:cs="宋体"/>
                <w:sz w:val="24"/>
                <w:szCs w:val="24"/>
                <w:highlight w:val="none"/>
              </w:rPr>
            </w:pPr>
          </w:p>
        </w:tc>
      </w:tr>
      <w:tr w14:paraId="5F807D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8" w:hRule="atLeast"/>
          <w:jc w:val="center"/>
        </w:trPr>
        <w:tc>
          <w:tcPr>
            <w:tcW w:w="2291" w:type="dxa"/>
            <w:tcBorders>
              <w:top w:val="single" w:color="auto" w:sz="6" w:space="0"/>
              <w:left w:val="single" w:color="auto" w:sz="12" w:space="0"/>
              <w:bottom w:val="single" w:color="auto" w:sz="6" w:space="0"/>
              <w:right w:val="single" w:color="auto" w:sz="6" w:space="0"/>
            </w:tcBorders>
            <w:vAlign w:val="center"/>
          </w:tcPr>
          <w:p w14:paraId="4125646C">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项目描述</w:t>
            </w:r>
          </w:p>
        </w:tc>
        <w:tc>
          <w:tcPr>
            <w:tcW w:w="7028" w:type="dxa"/>
            <w:tcBorders>
              <w:top w:val="single" w:color="auto" w:sz="6" w:space="0"/>
              <w:left w:val="single" w:color="auto" w:sz="6" w:space="0"/>
              <w:bottom w:val="single" w:color="auto" w:sz="6" w:space="0"/>
              <w:right w:val="single" w:color="auto" w:sz="12" w:space="0"/>
            </w:tcBorders>
            <w:vAlign w:val="center"/>
          </w:tcPr>
          <w:p w14:paraId="4B4E2E5A">
            <w:pPr>
              <w:pageBreakBefore w:val="0"/>
              <w:kinsoku/>
              <w:overflowPunct/>
              <w:topLinePunct w:val="0"/>
              <w:bidi w:val="0"/>
              <w:outlineLvl w:val="9"/>
              <w:rPr>
                <w:rFonts w:hint="eastAsia" w:ascii="宋体" w:hAnsi="宋体" w:eastAsia="宋体" w:cs="宋体"/>
                <w:sz w:val="24"/>
                <w:szCs w:val="24"/>
                <w:highlight w:val="none"/>
              </w:rPr>
            </w:pPr>
          </w:p>
        </w:tc>
      </w:tr>
      <w:tr w14:paraId="7B65A2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9" w:hRule="atLeast"/>
          <w:jc w:val="center"/>
        </w:trPr>
        <w:tc>
          <w:tcPr>
            <w:tcW w:w="2291" w:type="dxa"/>
            <w:tcBorders>
              <w:top w:val="single" w:color="auto" w:sz="6" w:space="0"/>
              <w:left w:val="single" w:color="auto" w:sz="12" w:space="0"/>
              <w:bottom w:val="single" w:color="auto" w:sz="12" w:space="0"/>
              <w:right w:val="single" w:color="auto" w:sz="6" w:space="0"/>
            </w:tcBorders>
            <w:vAlign w:val="center"/>
          </w:tcPr>
          <w:p w14:paraId="7BD9042B">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c>
          <w:tcPr>
            <w:tcW w:w="7028" w:type="dxa"/>
            <w:tcBorders>
              <w:top w:val="single" w:color="auto" w:sz="6" w:space="0"/>
              <w:left w:val="single" w:color="auto" w:sz="6" w:space="0"/>
              <w:bottom w:val="single" w:color="auto" w:sz="12" w:space="0"/>
              <w:right w:val="single" w:color="auto" w:sz="12" w:space="0"/>
            </w:tcBorders>
            <w:vAlign w:val="center"/>
          </w:tcPr>
          <w:p w14:paraId="2CA7A78F">
            <w:pPr>
              <w:pageBreakBefore w:val="0"/>
              <w:kinsoku/>
              <w:overflowPunct/>
              <w:topLinePunct w:val="0"/>
              <w:bidi w:val="0"/>
              <w:outlineLvl w:val="9"/>
              <w:rPr>
                <w:rFonts w:hint="eastAsia" w:ascii="宋体" w:hAnsi="宋体" w:eastAsia="宋体" w:cs="宋体"/>
                <w:sz w:val="24"/>
                <w:szCs w:val="24"/>
                <w:highlight w:val="none"/>
              </w:rPr>
            </w:pPr>
          </w:p>
        </w:tc>
      </w:tr>
    </w:tbl>
    <w:p w14:paraId="013A4FB1">
      <w:pPr>
        <w:pageBreakBefore w:val="0"/>
        <w:kinsoku/>
        <w:overflowPunct/>
        <w:topLinePunct w:val="0"/>
        <w:bidi w:val="0"/>
        <w:outlineLvl w:val="9"/>
        <w:rPr>
          <w:rFonts w:hint="eastAsia" w:ascii="宋体" w:hAnsi="宋体" w:eastAsia="宋体" w:cs="宋体"/>
          <w:sz w:val="24"/>
          <w:szCs w:val="24"/>
          <w:highlight w:val="none"/>
        </w:rPr>
      </w:pPr>
    </w:p>
    <w:p w14:paraId="7B183434">
      <w:pPr>
        <w:pageBreakBefore w:val="0"/>
        <w:kinsoku/>
        <w:overflowPunct/>
        <w:topLinePunct w:val="0"/>
        <w:bidi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注：1、每张表格只填写一个项目，并标明序号。</w:t>
      </w:r>
    </w:p>
    <w:p w14:paraId="50A23AE9">
      <w:pPr>
        <w:pageBreakBefore w:val="0"/>
        <w:kinsoku/>
        <w:overflowPunct/>
        <w:topLinePunct w:val="0"/>
        <w:bidi w:val="0"/>
        <w:spacing w:line="360" w:lineRule="auto"/>
        <w:ind w:firstLine="36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2、本表后须附合同协议书或中标通知书</w:t>
      </w:r>
      <w:r>
        <w:rPr>
          <w:rFonts w:hint="eastAsia" w:ascii="宋体" w:hAnsi="宋体" w:eastAsia="宋体" w:cs="宋体"/>
          <w:sz w:val="24"/>
          <w:szCs w:val="24"/>
          <w:highlight w:val="none"/>
          <w:lang w:eastAsia="zh-CN"/>
        </w:rPr>
        <w:t>原件扫描件</w:t>
      </w:r>
      <w:r>
        <w:rPr>
          <w:rFonts w:hint="eastAsia" w:ascii="宋体" w:hAnsi="宋体" w:eastAsia="宋体" w:cs="宋体"/>
          <w:sz w:val="24"/>
          <w:szCs w:val="24"/>
          <w:highlight w:val="none"/>
        </w:rPr>
        <w:t xml:space="preserve"> 。</w:t>
      </w:r>
    </w:p>
    <w:p w14:paraId="6CACD06E">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3、如近年来，</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法人机构发生合法变更或重组或法人名称变更时，应提供相关部门的合法批件或其他相关证明材料来证明其所附业绩的继承性。</w:t>
      </w:r>
    </w:p>
    <w:p w14:paraId="6CFB1281">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4、如无业绩，本表填“无”即可。</w:t>
      </w:r>
    </w:p>
    <w:p w14:paraId="73FA7742">
      <w:pPr>
        <w:pageBreakBefore w:val="0"/>
        <w:kinsoku/>
        <w:overflowPunct/>
        <w:topLinePunct w:val="0"/>
        <w:bidi w:val="0"/>
        <w:spacing w:line="400" w:lineRule="exact"/>
        <w:outlineLvl w:val="9"/>
        <w:rPr>
          <w:rFonts w:hint="eastAsia" w:ascii="宋体" w:hAnsi="宋体" w:eastAsia="宋体" w:cs="宋体"/>
          <w:szCs w:val="21"/>
          <w:highlight w:val="none"/>
        </w:rPr>
      </w:pPr>
    </w:p>
    <w:p w14:paraId="5FB36BB6">
      <w:pPr>
        <w:pageBreakBefore w:val="0"/>
        <w:kinsoku/>
        <w:overflowPunct/>
        <w:topLinePunct w:val="0"/>
        <w:bidi w:val="0"/>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418ABE77">
      <w:pPr>
        <w:keepNext w:val="0"/>
        <w:keepLines w:val="0"/>
        <w:pageBreakBefore w:val="0"/>
        <w:widowControl w:val="0"/>
        <w:numPr>
          <w:ilvl w:val="0"/>
          <w:numId w:val="4"/>
        </w:numPr>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资格审查资料</w:t>
      </w:r>
    </w:p>
    <w:p w14:paraId="1B695345">
      <w:pPr>
        <w:pStyle w:val="21"/>
        <w:numPr>
          <w:ilvl w:val="0"/>
          <w:numId w:val="0"/>
        </w:numPr>
        <w:jc w:val="center"/>
        <w:rPr>
          <w:rFonts w:hint="default"/>
          <w:highlight w:val="none"/>
          <w:lang w:val="en-US" w:eastAsia="zh-CN"/>
        </w:rPr>
      </w:pPr>
      <w:r>
        <w:rPr>
          <w:rStyle w:val="55"/>
          <w:rFonts w:hint="eastAsia" w:ascii="宋体" w:hAnsi="宋体" w:eastAsia="宋体" w:cs="宋体"/>
          <w:color w:val="auto"/>
          <w:sz w:val="24"/>
          <w:szCs w:val="24"/>
          <w:highlight w:val="none"/>
        </w:rPr>
        <w:t>（一）基本情况表</w:t>
      </w:r>
    </w:p>
    <w:tbl>
      <w:tblPr>
        <w:tblStyle w:val="23"/>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9"/>
        <w:gridCol w:w="1271"/>
        <w:gridCol w:w="1838"/>
        <w:gridCol w:w="1272"/>
        <w:gridCol w:w="2169"/>
      </w:tblGrid>
      <w:tr w14:paraId="62034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2589" w:type="dxa"/>
            <w:noWrap w:val="0"/>
            <w:vAlign w:val="center"/>
          </w:tcPr>
          <w:p w14:paraId="49E1B2D5">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供应商名称</w:t>
            </w:r>
          </w:p>
        </w:tc>
        <w:tc>
          <w:tcPr>
            <w:tcW w:w="6550" w:type="dxa"/>
            <w:gridSpan w:val="4"/>
            <w:noWrap w:val="0"/>
            <w:vAlign w:val="center"/>
          </w:tcPr>
          <w:p w14:paraId="5C698407">
            <w:pPr>
              <w:autoSpaceDE w:val="0"/>
              <w:autoSpaceDN w:val="0"/>
              <w:adjustRightInd w:val="0"/>
              <w:spacing w:line="440" w:lineRule="exact"/>
              <w:jc w:val="center"/>
              <w:rPr>
                <w:rFonts w:hint="eastAsia" w:ascii="宋体" w:hAnsi="宋体" w:cs="宋体"/>
                <w:sz w:val="24"/>
                <w:highlight w:val="none"/>
              </w:rPr>
            </w:pPr>
          </w:p>
        </w:tc>
      </w:tr>
      <w:tr w14:paraId="16FAB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2589" w:type="dxa"/>
            <w:noWrap w:val="0"/>
            <w:vAlign w:val="center"/>
          </w:tcPr>
          <w:p w14:paraId="642D0B5B">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注册资金</w:t>
            </w:r>
          </w:p>
        </w:tc>
        <w:tc>
          <w:tcPr>
            <w:tcW w:w="3109" w:type="dxa"/>
            <w:gridSpan w:val="2"/>
            <w:noWrap w:val="0"/>
            <w:vAlign w:val="center"/>
          </w:tcPr>
          <w:p w14:paraId="421EE773">
            <w:pPr>
              <w:autoSpaceDE w:val="0"/>
              <w:autoSpaceDN w:val="0"/>
              <w:adjustRightInd w:val="0"/>
              <w:spacing w:line="440" w:lineRule="exact"/>
              <w:jc w:val="center"/>
              <w:rPr>
                <w:rFonts w:hint="eastAsia" w:ascii="宋体" w:hAnsi="宋体" w:cs="宋体"/>
                <w:sz w:val="24"/>
                <w:highlight w:val="none"/>
              </w:rPr>
            </w:pPr>
          </w:p>
        </w:tc>
        <w:tc>
          <w:tcPr>
            <w:tcW w:w="1272" w:type="dxa"/>
            <w:noWrap w:val="0"/>
            <w:vAlign w:val="center"/>
          </w:tcPr>
          <w:p w14:paraId="08E3AD7B">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成立时间</w:t>
            </w:r>
          </w:p>
        </w:tc>
        <w:tc>
          <w:tcPr>
            <w:tcW w:w="2169" w:type="dxa"/>
            <w:noWrap w:val="0"/>
            <w:vAlign w:val="center"/>
          </w:tcPr>
          <w:p w14:paraId="1EE19229">
            <w:pPr>
              <w:autoSpaceDE w:val="0"/>
              <w:autoSpaceDN w:val="0"/>
              <w:adjustRightInd w:val="0"/>
              <w:spacing w:line="440" w:lineRule="exact"/>
              <w:jc w:val="center"/>
              <w:rPr>
                <w:rFonts w:hint="eastAsia" w:ascii="宋体" w:hAnsi="宋体" w:cs="宋体"/>
                <w:sz w:val="24"/>
                <w:highlight w:val="none"/>
              </w:rPr>
            </w:pPr>
          </w:p>
        </w:tc>
      </w:tr>
      <w:tr w14:paraId="31B94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589" w:type="dxa"/>
            <w:noWrap w:val="0"/>
            <w:vAlign w:val="center"/>
          </w:tcPr>
          <w:p w14:paraId="7634CB23">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注册地址</w:t>
            </w:r>
          </w:p>
        </w:tc>
        <w:tc>
          <w:tcPr>
            <w:tcW w:w="6550" w:type="dxa"/>
            <w:gridSpan w:val="4"/>
            <w:noWrap w:val="0"/>
            <w:vAlign w:val="center"/>
          </w:tcPr>
          <w:p w14:paraId="047BD5F7">
            <w:pPr>
              <w:autoSpaceDE w:val="0"/>
              <w:autoSpaceDN w:val="0"/>
              <w:adjustRightInd w:val="0"/>
              <w:spacing w:line="440" w:lineRule="exact"/>
              <w:jc w:val="center"/>
              <w:rPr>
                <w:rFonts w:hint="eastAsia" w:ascii="宋体" w:hAnsi="宋体" w:cs="宋体"/>
                <w:sz w:val="24"/>
                <w:highlight w:val="none"/>
              </w:rPr>
            </w:pPr>
          </w:p>
        </w:tc>
      </w:tr>
      <w:tr w14:paraId="44284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589" w:type="dxa"/>
            <w:noWrap w:val="0"/>
            <w:vAlign w:val="center"/>
          </w:tcPr>
          <w:p w14:paraId="2ED7BF01">
            <w:pPr>
              <w:autoSpaceDE w:val="0"/>
              <w:autoSpaceDN w:val="0"/>
              <w:adjustRightInd w:val="0"/>
              <w:spacing w:line="440" w:lineRule="exact"/>
              <w:jc w:val="center"/>
              <w:rPr>
                <w:rFonts w:hint="eastAsia" w:ascii="宋体" w:hAnsi="宋体" w:eastAsia="宋体" w:cs="宋体"/>
                <w:sz w:val="24"/>
                <w:highlight w:val="none"/>
                <w:lang w:eastAsia="zh-CN"/>
              </w:rPr>
            </w:pPr>
            <w:r>
              <w:rPr>
                <w:rFonts w:hint="eastAsia" w:ascii="宋体" w:hAnsi="宋体" w:cs="宋体"/>
                <w:sz w:val="24"/>
                <w:highlight w:val="none"/>
                <w:lang w:eastAsia="zh-CN"/>
              </w:rPr>
              <w:t>组织机构代码</w:t>
            </w:r>
          </w:p>
        </w:tc>
        <w:tc>
          <w:tcPr>
            <w:tcW w:w="3109" w:type="dxa"/>
            <w:gridSpan w:val="2"/>
            <w:noWrap w:val="0"/>
            <w:vAlign w:val="center"/>
          </w:tcPr>
          <w:p w14:paraId="5E604293">
            <w:pPr>
              <w:autoSpaceDE w:val="0"/>
              <w:autoSpaceDN w:val="0"/>
              <w:adjustRightInd w:val="0"/>
              <w:spacing w:line="440" w:lineRule="exact"/>
              <w:jc w:val="center"/>
              <w:rPr>
                <w:rFonts w:hint="eastAsia" w:ascii="宋体" w:hAnsi="宋体" w:cs="宋体"/>
                <w:sz w:val="24"/>
                <w:highlight w:val="none"/>
              </w:rPr>
            </w:pPr>
          </w:p>
        </w:tc>
        <w:tc>
          <w:tcPr>
            <w:tcW w:w="1272" w:type="dxa"/>
            <w:noWrap w:val="0"/>
            <w:vAlign w:val="center"/>
          </w:tcPr>
          <w:p w14:paraId="7B6619FC">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邮政编码</w:t>
            </w:r>
          </w:p>
        </w:tc>
        <w:tc>
          <w:tcPr>
            <w:tcW w:w="2169" w:type="dxa"/>
            <w:noWrap w:val="0"/>
            <w:vAlign w:val="center"/>
          </w:tcPr>
          <w:p w14:paraId="53335CBA">
            <w:pPr>
              <w:autoSpaceDE w:val="0"/>
              <w:autoSpaceDN w:val="0"/>
              <w:adjustRightInd w:val="0"/>
              <w:spacing w:line="440" w:lineRule="exact"/>
              <w:jc w:val="center"/>
              <w:rPr>
                <w:rFonts w:hint="eastAsia" w:ascii="宋体" w:hAnsi="宋体" w:cs="宋体"/>
                <w:sz w:val="24"/>
                <w:highlight w:val="none"/>
              </w:rPr>
            </w:pPr>
          </w:p>
        </w:tc>
      </w:tr>
      <w:tr w14:paraId="76006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2589" w:type="dxa"/>
            <w:vMerge w:val="restart"/>
            <w:noWrap w:val="0"/>
            <w:vAlign w:val="center"/>
          </w:tcPr>
          <w:p w14:paraId="05FDF8E1">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联系方式</w:t>
            </w:r>
          </w:p>
        </w:tc>
        <w:tc>
          <w:tcPr>
            <w:tcW w:w="1271" w:type="dxa"/>
            <w:noWrap w:val="0"/>
            <w:vAlign w:val="center"/>
          </w:tcPr>
          <w:p w14:paraId="1E79C5D2">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联系人</w:t>
            </w:r>
          </w:p>
        </w:tc>
        <w:tc>
          <w:tcPr>
            <w:tcW w:w="1838" w:type="dxa"/>
            <w:noWrap w:val="0"/>
            <w:vAlign w:val="center"/>
          </w:tcPr>
          <w:p w14:paraId="0FFD2A8F">
            <w:pPr>
              <w:autoSpaceDE w:val="0"/>
              <w:autoSpaceDN w:val="0"/>
              <w:adjustRightInd w:val="0"/>
              <w:spacing w:line="440" w:lineRule="exact"/>
              <w:jc w:val="center"/>
              <w:rPr>
                <w:rFonts w:hint="eastAsia" w:ascii="宋体" w:hAnsi="宋体" w:cs="宋体"/>
                <w:sz w:val="24"/>
                <w:highlight w:val="none"/>
              </w:rPr>
            </w:pPr>
          </w:p>
        </w:tc>
        <w:tc>
          <w:tcPr>
            <w:tcW w:w="1272" w:type="dxa"/>
            <w:noWrap w:val="0"/>
            <w:vAlign w:val="center"/>
          </w:tcPr>
          <w:p w14:paraId="451FA4E2">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电话</w:t>
            </w:r>
          </w:p>
        </w:tc>
        <w:tc>
          <w:tcPr>
            <w:tcW w:w="2169" w:type="dxa"/>
            <w:noWrap w:val="0"/>
            <w:vAlign w:val="center"/>
          </w:tcPr>
          <w:p w14:paraId="1E6E4DD4">
            <w:pPr>
              <w:autoSpaceDE w:val="0"/>
              <w:autoSpaceDN w:val="0"/>
              <w:adjustRightInd w:val="0"/>
              <w:spacing w:line="440" w:lineRule="exact"/>
              <w:jc w:val="center"/>
              <w:rPr>
                <w:rFonts w:hint="eastAsia" w:ascii="宋体" w:hAnsi="宋体" w:cs="宋体"/>
                <w:sz w:val="24"/>
                <w:highlight w:val="none"/>
              </w:rPr>
            </w:pPr>
          </w:p>
        </w:tc>
      </w:tr>
      <w:tr w14:paraId="0B84A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2589" w:type="dxa"/>
            <w:vMerge w:val="continue"/>
            <w:noWrap w:val="0"/>
            <w:vAlign w:val="center"/>
          </w:tcPr>
          <w:p w14:paraId="5440BCB2">
            <w:pPr>
              <w:autoSpaceDE w:val="0"/>
              <w:autoSpaceDN w:val="0"/>
              <w:adjustRightInd w:val="0"/>
              <w:spacing w:line="440" w:lineRule="exact"/>
              <w:jc w:val="center"/>
              <w:rPr>
                <w:rFonts w:hint="eastAsia" w:ascii="宋体" w:hAnsi="宋体" w:cs="宋体"/>
                <w:sz w:val="24"/>
                <w:highlight w:val="none"/>
              </w:rPr>
            </w:pPr>
          </w:p>
        </w:tc>
        <w:tc>
          <w:tcPr>
            <w:tcW w:w="1271" w:type="dxa"/>
            <w:noWrap w:val="0"/>
            <w:vAlign w:val="center"/>
          </w:tcPr>
          <w:p w14:paraId="6B0A0B83">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传真</w:t>
            </w:r>
          </w:p>
        </w:tc>
        <w:tc>
          <w:tcPr>
            <w:tcW w:w="1838" w:type="dxa"/>
            <w:noWrap w:val="0"/>
            <w:vAlign w:val="center"/>
          </w:tcPr>
          <w:p w14:paraId="47881EFD">
            <w:pPr>
              <w:autoSpaceDE w:val="0"/>
              <w:autoSpaceDN w:val="0"/>
              <w:adjustRightInd w:val="0"/>
              <w:spacing w:line="440" w:lineRule="exact"/>
              <w:jc w:val="center"/>
              <w:rPr>
                <w:rFonts w:hint="eastAsia" w:ascii="宋体" w:hAnsi="宋体" w:cs="宋体"/>
                <w:sz w:val="24"/>
                <w:highlight w:val="none"/>
              </w:rPr>
            </w:pPr>
          </w:p>
        </w:tc>
        <w:tc>
          <w:tcPr>
            <w:tcW w:w="1272" w:type="dxa"/>
            <w:noWrap w:val="0"/>
            <w:vAlign w:val="center"/>
          </w:tcPr>
          <w:p w14:paraId="2138FE47">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网址</w:t>
            </w:r>
          </w:p>
        </w:tc>
        <w:tc>
          <w:tcPr>
            <w:tcW w:w="2169" w:type="dxa"/>
            <w:noWrap w:val="0"/>
            <w:vAlign w:val="center"/>
          </w:tcPr>
          <w:p w14:paraId="3C301CBC">
            <w:pPr>
              <w:autoSpaceDE w:val="0"/>
              <w:autoSpaceDN w:val="0"/>
              <w:adjustRightInd w:val="0"/>
              <w:spacing w:line="440" w:lineRule="exact"/>
              <w:jc w:val="center"/>
              <w:rPr>
                <w:rFonts w:hint="eastAsia" w:ascii="宋体" w:hAnsi="宋体" w:cs="宋体"/>
                <w:sz w:val="24"/>
                <w:highlight w:val="none"/>
              </w:rPr>
            </w:pPr>
          </w:p>
        </w:tc>
      </w:tr>
      <w:tr w14:paraId="57DA9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589" w:type="dxa"/>
            <w:noWrap w:val="0"/>
            <w:vAlign w:val="center"/>
          </w:tcPr>
          <w:p w14:paraId="2008FB1D">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法定代表人</w:t>
            </w:r>
          </w:p>
        </w:tc>
        <w:tc>
          <w:tcPr>
            <w:tcW w:w="1271" w:type="dxa"/>
            <w:noWrap w:val="0"/>
            <w:vAlign w:val="center"/>
          </w:tcPr>
          <w:p w14:paraId="5F4BD4BE">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姓名</w:t>
            </w:r>
          </w:p>
        </w:tc>
        <w:tc>
          <w:tcPr>
            <w:tcW w:w="1838" w:type="dxa"/>
            <w:noWrap w:val="0"/>
            <w:vAlign w:val="center"/>
          </w:tcPr>
          <w:p w14:paraId="55FE6F21">
            <w:pPr>
              <w:autoSpaceDE w:val="0"/>
              <w:autoSpaceDN w:val="0"/>
              <w:adjustRightInd w:val="0"/>
              <w:spacing w:line="440" w:lineRule="exact"/>
              <w:jc w:val="center"/>
              <w:rPr>
                <w:rFonts w:hint="eastAsia" w:ascii="宋体" w:hAnsi="宋体" w:cs="宋体"/>
                <w:sz w:val="24"/>
                <w:highlight w:val="none"/>
              </w:rPr>
            </w:pPr>
          </w:p>
        </w:tc>
        <w:tc>
          <w:tcPr>
            <w:tcW w:w="1272" w:type="dxa"/>
            <w:noWrap w:val="0"/>
            <w:vAlign w:val="center"/>
          </w:tcPr>
          <w:p w14:paraId="7D2217A0">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电话</w:t>
            </w:r>
          </w:p>
        </w:tc>
        <w:tc>
          <w:tcPr>
            <w:tcW w:w="2169" w:type="dxa"/>
            <w:noWrap w:val="0"/>
            <w:vAlign w:val="center"/>
          </w:tcPr>
          <w:p w14:paraId="5B80A41E">
            <w:pPr>
              <w:autoSpaceDE w:val="0"/>
              <w:autoSpaceDN w:val="0"/>
              <w:adjustRightInd w:val="0"/>
              <w:spacing w:line="440" w:lineRule="exact"/>
              <w:jc w:val="center"/>
              <w:rPr>
                <w:rFonts w:hint="eastAsia" w:ascii="宋体" w:hAnsi="宋体" w:cs="宋体"/>
                <w:sz w:val="24"/>
                <w:highlight w:val="none"/>
              </w:rPr>
            </w:pPr>
          </w:p>
        </w:tc>
      </w:tr>
      <w:tr w14:paraId="6F281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jc w:val="center"/>
        </w:trPr>
        <w:tc>
          <w:tcPr>
            <w:tcW w:w="2589" w:type="dxa"/>
            <w:noWrap w:val="0"/>
            <w:vAlign w:val="center"/>
          </w:tcPr>
          <w:p w14:paraId="27E398AA">
            <w:pPr>
              <w:autoSpaceDE w:val="0"/>
              <w:autoSpaceDN w:val="0"/>
              <w:adjustRightInd w:val="0"/>
              <w:spacing w:line="440" w:lineRule="exact"/>
              <w:jc w:val="center"/>
              <w:rPr>
                <w:rFonts w:hint="eastAsia" w:ascii="宋体" w:hAnsi="宋体" w:cs="宋体" w:eastAsiaTheme="minorEastAsia"/>
                <w:sz w:val="24"/>
                <w:highlight w:val="none"/>
                <w:lang w:val="en-US" w:eastAsia="zh-CN"/>
              </w:rPr>
            </w:pPr>
            <w:r>
              <w:rPr>
                <w:rFonts w:hint="eastAsia" w:ascii="宋体" w:hAnsi="宋体" w:cs="宋体"/>
                <w:sz w:val="24"/>
                <w:highlight w:val="none"/>
              </w:rPr>
              <w:t>组织结构</w:t>
            </w:r>
            <w:r>
              <w:rPr>
                <w:rFonts w:hint="eastAsia" w:ascii="宋体" w:hAnsi="宋体" w:cs="宋体"/>
                <w:sz w:val="24"/>
                <w:highlight w:val="none"/>
                <w:lang w:val="en-US" w:eastAsia="zh-CN"/>
              </w:rPr>
              <w:t>类型</w:t>
            </w:r>
          </w:p>
        </w:tc>
        <w:tc>
          <w:tcPr>
            <w:tcW w:w="6550" w:type="dxa"/>
            <w:gridSpan w:val="4"/>
            <w:noWrap w:val="0"/>
            <w:vAlign w:val="center"/>
          </w:tcPr>
          <w:p w14:paraId="002A28CB">
            <w:pPr>
              <w:autoSpaceDE w:val="0"/>
              <w:autoSpaceDN w:val="0"/>
              <w:adjustRightInd w:val="0"/>
              <w:spacing w:line="440" w:lineRule="exact"/>
              <w:rPr>
                <w:rFonts w:hint="eastAsia" w:ascii="宋体" w:hAnsi="宋体" w:cs="宋体"/>
                <w:sz w:val="24"/>
                <w:highlight w:val="none"/>
              </w:rPr>
            </w:pPr>
          </w:p>
        </w:tc>
      </w:tr>
      <w:tr w14:paraId="49124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3" w:hRule="atLeast"/>
          <w:jc w:val="center"/>
        </w:trPr>
        <w:tc>
          <w:tcPr>
            <w:tcW w:w="2589" w:type="dxa"/>
            <w:noWrap w:val="0"/>
            <w:vAlign w:val="center"/>
          </w:tcPr>
          <w:p w14:paraId="3BBB1A51">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经营范围</w:t>
            </w:r>
          </w:p>
        </w:tc>
        <w:tc>
          <w:tcPr>
            <w:tcW w:w="6550" w:type="dxa"/>
            <w:gridSpan w:val="4"/>
            <w:noWrap w:val="0"/>
            <w:vAlign w:val="center"/>
          </w:tcPr>
          <w:p w14:paraId="151EB9FD">
            <w:pPr>
              <w:autoSpaceDE w:val="0"/>
              <w:autoSpaceDN w:val="0"/>
              <w:adjustRightInd w:val="0"/>
              <w:spacing w:line="440" w:lineRule="exact"/>
              <w:rPr>
                <w:rFonts w:hint="eastAsia" w:ascii="宋体" w:hAnsi="宋体" w:cs="宋体"/>
                <w:sz w:val="24"/>
                <w:highlight w:val="none"/>
              </w:rPr>
            </w:pPr>
          </w:p>
        </w:tc>
      </w:tr>
      <w:tr w14:paraId="3BFDB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2589" w:type="dxa"/>
            <w:noWrap w:val="0"/>
            <w:vAlign w:val="center"/>
          </w:tcPr>
          <w:p w14:paraId="025B1849">
            <w:pPr>
              <w:adjustRightInd w:val="0"/>
              <w:snapToGrid w:val="0"/>
              <w:spacing w:line="440" w:lineRule="exact"/>
              <w:jc w:val="center"/>
              <w:rPr>
                <w:rFonts w:hint="eastAsia" w:ascii="宋体" w:hAnsi="宋体" w:cs="宋体"/>
                <w:sz w:val="24"/>
                <w:highlight w:val="none"/>
              </w:rPr>
            </w:pPr>
            <w:r>
              <w:rPr>
                <w:rFonts w:hint="eastAsia" w:ascii="宋体" w:hAnsi="宋体" w:cs="宋体"/>
                <w:sz w:val="24"/>
                <w:highlight w:val="none"/>
              </w:rPr>
              <w:t>备注</w:t>
            </w:r>
          </w:p>
        </w:tc>
        <w:tc>
          <w:tcPr>
            <w:tcW w:w="6550" w:type="dxa"/>
            <w:gridSpan w:val="4"/>
            <w:noWrap w:val="0"/>
            <w:vAlign w:val="center"/>
          </w:tcPr>
          <w:p w14:paraId="6B684D64">
            <w:pPr>
              <w:adjustRightInd w:val="0"/>
              <w:snapToGrid w:val="0"/>
              <w:spacing w:line="440" w:lineRule="exact"/>
              <w:jc w:val="center"/>
              <w:rPr>
                <w:rFonts w:hint="eastAsia" w:ascii="宋体" w:hAnsi="宋体" w:cs="宋体"/>
                <w:sz w:val="24"/>
                <w:highlight w:val="none"/>
              </w:rPr>
            </w:pPr>
          </w:p>
        </w:tc>
      </w:tr>
    </w:tbl>
    <w:p w14:paraId="5042AECD">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sz w:val="32"/>
          <w:szCs w:val="32"/>
          <w:highlight w:val="none"/>
          <w:lang w:eastAsia="zh-CN"/>
        </w:rPr>
      </w:pPr>
    </w:p>
    <w:p w14:paraId="2AA45152">
      <w:pPr>
        <w:pageBreakBefore w:val="0"/>
        <w:kinsoku/>
        <w:overflowPunct/>
        <w:topLinePunct w:val="0"/>
        <w:bidi w:val="0"/>
        <w:spacing w:line="360" w:lineRule="auto"/>
        <w:ind w:firstLine="200"/>
        <w:outlineLvl w:val="9"/>
        <w:rPr>
          <w:rFonts w:hint="eastAsia" w:ascii="宋体" w:hAnsi="宋体" w:eastAsia="宋体" w:cs="宋体"/>
          <w:kern w:val="10"/>
          <w:sz w:val="24"/>
          <w:szCs w:val="24"/>
          <w:highlight w:val="none"/>
        </w:rPr>
      </w:pPr>
    </w:p>
    <w:p w14:paraId="643BC3B1">
      <w:pPr>
        <w:pageBreakBefore w:val="0"/>
        <w:kinsoku/>
        <w:overflowPunct/>
        <w:topLinePunct w:val="0"/>
        <w:bidi w:val="0"/>
        <w:spacing w:line="360" w:lineRule="auto"/>
        <w:ind w:firstLine="200"/>
        <w:outlineLvl w:val="9"/>
        <w:rPr>
          <w:rFonts w:hint="eastAsia" w:ascii="宋体" w:hAnsi="宋体" w:eastAsia="宋体" w:cs="宋体"/>
          <w:kern w:val="10"/>
          <w:sz w:val="24"/>
          <w:szCs w:val="24"/>
          <w:highlight w:val="none"/>
        </w:rPr>
      </w:pPr>
    </w:p>
    <w:p w14:paraId="09F032BA">
      <w:pPr>
        <w:pageBreakBefore w:val="0"/>
        <w:kinsoku/>
        <w:overflowPunct/>
        <w:topLinePunct w:val="0"/>
        <w:bidi w:val="0"/>
        <w:spacing w:line="360" w:lineRule="auto"/>
        <w:ind w:firstLine="200"/>
        <w:outlineLvl w:val="9"/>
        <w:rPr>
          <w:rFonts w:hint="eastAsia" w:ascii="宋体" w:hAnsi="宋体" w:eastAsia="宋体" w:cs="宋体"/>
          <w:kern w:val="10"/>
          <w:sz w:val="24"/>
          <w:szCs w:val="24"/>
          <w:highlight w:val="none"/>
        </w:rPr>
      </w:pPr>
      <w:r>
        <w:rPr>
          <w:rFonts w:hint="eastAsia" w:ascii="宋体" w:hAnsi="宋体" w:eastAsia="宋体" w:cs="宋体"/>
          <w:kern w:val="10"/>
          <w:sz w:val="24"/>
          <w:szCs w:val="24"/>
          <w:highlight w:val="none"/>
          <w:lang w:val="en-US" w:eastAsia="zh-CN"/>
        </w:rPr>
        <w:t>后</w:t>
      </w:r>
      <w:r>
        <w:rPr>
          <w:rFonts w:hint="eastAsia" w:ascii="宋体" w:hAnsi="宋体" w:eastAsia="宋体" w:cs="宋体"/>
          <w:kern w:val="10"/>
          <w:sz w:val="24"/>
          <w:szCs w:val="24"/>
          <w:highlight w:val="none"/>
        </w:rPr>
        <w:t>附以下资格审查资料：</w:t>
      </w:r>
    </w:p>
    <w:p w14:paraId="3D3E3911">
      <w:pPr>
        <w:pageBreakBefore w:val="0"/>
        <w:kinsoku/>
        <w:overflowPunct/>
        <w:topLinePunct w:val="0"/>
        <w:bidi w:val="0"/>
        <w:spacing w:line="360" w:lineRule="auto"/>
        <w:ind w:firstLine="480" w:firstLineChars="200"/>
        <w:jc w:val="left"/>
        <w:outlineLvl w:val="9"/>
        <w:rPr>
          <w:rFonts w:hint="eastAsia" w:ascii="宋体" w:hAnsi="宋体" w:eastAsia="宋体" w:cs="宋体"/>
          <w:sz w:val="24"/>
          <w:szCs w:val="24"/>
          <w:highlight w:val="none"/>
          <w:lang w:eastAsia="zh-CN"/>
        </w:rPr>
      </w:pPr>
      <w:r>
        <w:rPr>
          <w:rFonts w:hint="eastAsia" w:ascii="宋体" w:hAnsi="宋体" w:eastAsia="宋体" w:cs="宋体"/>
          <w:kern w:val="0"/>
          <w:sz w:val="24"/>
          <w:highlight w:val="none"/>
          <w:shd w:val="clear" w:color="auto" w:fill="FFFFFF" w:themeFill="background1"/>
          <w:lang w:val="en-US" w:eastAsia="zh-CN"/>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供应商须具备独立法人资格，具有有效的营业执照；</w:t>
      </w:r>
    </w:p>
    <w:p w14:paraId="37E34DA5">
      <w:pPr>
        <w:pageBreakBefore w:val="0"/>
        <w:kinsoku/>
        <w:overflowPunct/>
        <w:topLinePunct w:val="0"/>
        <w:bidi w:val="0"/>
        <w:spacing w:line="360" w:lineRule="auto"/>
        <w:ind w:firstLine="480" w:firstLineChars="200"/>
        <w:jc w:val="left"/>
        <w:outlineLvl w:val="9"/>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供应商须具备建设行政主管部门颁发的建筑工程施工总承包贰级（含贰级）或其以上资质，且具有有效的安全生产许可证</w:t>
      </w:r>
      <w:r>
        <w:rPr>
          <w:rFonts w:hint="eastAsia" w:ascii="宋体" w:hAnsi="宋体" w:eastAsia="宋体" w:cs="宋体"/>
          <w:color w:val="auto"/>
          <w:sz w:val="24"/>
          <w:szCs w:val="24"/>
          <w:highlight w:val="none"/>
          <w:lang w:eastAsia="zh-CN"/>
        </w:rPr>
        <w:t>；</w:t>
      </w:r>
    </w:p>
    <w:p w14:paraId="4CF9F588">
      <w:pPr>
        <w:pageBreakBefore w:val="0"/>
        <w:kinsoku/>
        <w:overflowPunct/>
        <w:topLinePunct w:val="0"/>
        <w:bidi w:val="0"/>
        <w:spacing w:line="360" w:lineRule="auto"/>
        <w:ind w:firstLine="480" w:firstLineChars="200"/>
        <w:jc w:val="left"/>
        <w:outlineLvl w:val="9"/>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highlight w:val="none"/>
        </w:rPr>
        <w:t>拟派项目经理须具备</w:t>
      </w:r>
      <w:r>
        <w:rPr>
          <w:rFonts w:hint="eastAsia" w:ascii="宋体" w:hAnsi="宋体" w:eastAsia="宋体" w:cs="宋体"/>
          <w:color w:val="auto"/>
          <w:sz w:val="24"/>
          <w:highlight w:val="none"/>
          <w:lang w:eastAsia="zh-CN"/>
        </w:rPr>
        <w:t>建筑</w:t>
      </w:r>
      <w:r>
        <w:rPr>
          <w:rFonts w:hint="eastAsia" w:ascii="宋体" w:hAnsi="宋体" w:eastAsia="宋体" w:cs="宋体"/>
          <w:color w:val="auto"/>
          <w:sz w:val="24"/>
          <w:highlight w:val="none"/>
        </w:rPr>
        <w:t>工程专业贰级及以上注册建造师执业资格证书（不含临时），有效的安全生产考核合格证书，为本单位员工，并具有劳动合同及养老保险缴费证明，</w:t>
      </w:r>
      <w:r>
        <w:rPr>
          <w:rFonts w:hint="eastAsia" w:ascii="宋体" w:hAnsi="宋体" w:eastAsia="宋体" w:cs="宋体"/>
          <w:color w:val="auto"/>
          <w:sz w:val="24"/>
          <w:highlight w:val="none"/>
          <w:lang w:eastAsia="zh-CN"/>
        </w:rPr>
        <w:t>出具</w:t>
      </w:r>
      <w:r>
        <w:rPr>
          <w:rFonts w:hint="eastAsia" w:ascii="宋体" w:hAnsi="宋体" w:eastAsia="宋体" w:cs="宋体"/>
          <w:color w:val="auto"/>
          <w:sz w:val="24"/>
          <w:highlight w:val="none"/>
        </w:rPr>
        <w:t>无在建工程承诺书</w:t>
      </w:r>
      <w:r>
        <w:rPr>
          <w:rFonts w:hint="eastAsia" w:ascii="宋体" w:hAnsi="宋体" w:eastAsia="宋体" w:cs="宋体"/>
          <w:sz w:val="24"/>
          <w:szCs w:val="24"/>
          <w:highlight w:val="none"/>
          <w:lang w:val="en-US" w:eastAsia="zh-CN"/>
        </w:rPr>
        <w:t>；</w:t>
      </w:r>
    </w:p>
    <w:p w14:paraId="2D225C9A">
      <w:pPr>
        <w:pageBreakBefore w:val="0"/>
        <w:kinsoku/>
        <w:overflowPunct/>
        <w:topLinePunct w:val="0"/>
        <w:bidi w:val="0"/>
        <w:spacing w:line="360" w:lineRule="auto"/>
        <w:ind w:firstLine="480" w:firstLineChars="200"/>
        <w:jc w:val="left"/>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供应商须自行出具本单位无商业贿赂及无不正当竞争行为的承诺书</w:t>
      </w:r>
      <w:r>
        <w:rPr>
          <w:rFonts w:hint="eastAsia"/>
          <w:sz w:val="24"/>
          <w:szCs w:val="24"/>
          <w:highlight w:val="none"/>
          <w:lang w:val="en-US" w:eastAsia="zh-CN"/>
        </w:rPr>
        <w:t>（承诺书格式自拟）</w:t>
      </w:r>
      <w:r>
        <w:rPr>
          <w:rFonts w:hint="eastAsia" w:ascii="宋体" w:hAnsi="宋体" w:eastAsia="宋体" w:cs="宋体"/>
          <w:sz w:val="24"/>
          <w:szCs w:val="24"/>
          <w:highlight w:val="none"/>
          <w:lang w:eastAsia="zh-CN"/>
        </w:rPr>
        <w:t>；</w:t>
      </w:r>
    </w:p>
    <w:p w14:paraId="14A519BA">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outlineLvl w:val="9"/>
        <w:rPr>
          <w:rFonts w:ascii="宋体" w:hAnsi="宋体" w:cs="宋体"/>
          <w:sz w:val="24"/>
          <w:szCs w:val="22"/>
          <w:highlight w:val="none"/>
        </w:rPr>
      </w:pPr>
      <w:r>
        <w:rPr>
          <w:rFonts w:hint="eastAsia" w:ascii="宋体" w:hAnsi="宋体" w:eastAsia="宋体" w:cs="宋体"/>
          <w:sz w:val="24"/>
          <w:szCs w:val="24"/>
          <w:highlight w:val="none"/>
          <w:lang w:val="en-US" w:eastAsia="zh-CN"/>
        </w:rPr>
        <w:t>5.根据</w:t>
      </w:r>
      <w:r>
        <w:rPr>
          <w:rFonts w:hint="eastAsia" w:ascii="宋体" w:hAnsi="宋体" w:eastAsia="宋体" w:cs="宋体"/>
          <w:sz w:val="24"/>
          <w:highlight w:val="none"/>
          <w:lang w:val="en-US" w:eastAsia="zh-CN"/>
        </w:rPr>
        <w:t>《关于在政府采购活动中查询及使用信用记录有关问题的通知》(财库[2016]125号)和豫财购【2016】15号的规定，对列入失信被执行人、重大税收违法失信主体、政府采购严重违法失信行为记录名单的</w:t>
      </w:r>
      <w:r>
        <w:rPr>
          <w:rFonts w:hint="eastAsia" w:ascii="宋体" w:hAnsi="宋体" w:cs="宋体"/>
          <w:sz w:val="24"/>
          <w:highlight w:val="none"/>
          <w:lang w:val="en-US" w:eastAsia="zh-CN"/>
        </w:rPr>
        <w:t>供应商</w:t>
      </w:r>
      <w:r>
        <w:rPr>
          <w:rFonts w:hint="eastAsia" w:ascii="宋体" w:hAnsi="宋体" w:eastAsia="宋体" w:cs="宋体"/>
          <w:sz w:val="24"/>
          <w:highlight w:val="none"/>
          <w:lang w:val="en-US" w:eastAsia="zh-CN"/>
        </w:rPr>
        <w:t>，拒绝参与本项目采购活动；查询渠道：①中国执行信息公开网（http://zxgk.court.gov.cn）查询内容：失信被执行人；②“信用中国”网站（https://www.creditchina.gov.cn/zhuanxiangchaxun/），查询内容：重大税收违法失信主体；③中国政府采购网（www.ccgp.gov.cn）查询内容：政府采购严重违法失信行为记录名单。供应商须提供中国执行信息公开网查询页、信用中国查询页、中国政府采购网查询页的查询结果截图，</w:t>
      </w:r>
      <w:r>
        <w:rPr>
          <w:rFonts w:hint="eastAsia" w:ascii="宋体" w:hAnsi="宋体" w:eastAsia="宋体" w:cs="宋体"/>
          <w:b/>
          <w:bCs/>
          <w:sz w:val="24"/>
          <w:highlight w:val="none"/>
          <w:lang w:val="en-US" w:eastAsia="zh-CN"/>
        </w:rPr>
        <w:t>查询日期为本公告发布之日起，网站截图应含有日期且显示查询结果</w:t>
      </w:r>
      <w:r>
        <w:rPr>
          <w:rFonts w:hint="eastAsia" w:ascii="宋体" w:hAnsi="宋体" w:eastAsia="宋体" w:cs="宋体"/>
          <w:b/>
          <w:bCs/>
          <w:color w:val="auto"/>
          <w:sz w:val="24"/>
          <w:highlight w:val="none"/>
          <w:lang w:val="en-US" w:eastAsia="zh-CN"/>
        </w:rPr>
        <w:t>；</w:t>
      </w:r>
    </w:p>
    <w:p w14:paraId="7B9321C9">
      <w:pPr>
        <w:pageBreakBefore w:val="0"/>
        <w:kinsoku/>
        <w:overflowPunct/>
        <w:topLinePunct w:val="0"/>
        <w:bidi w:val="0"/>
        <w:spacing w:line="360" w:lineRule="auto"/>
        <w:ind w:firstLine="480" w:firstLineChars="200"/>
        <w:jc w:val="left"/>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r>
        <w:rPr>
          <w:rFonts w:hint="eastAsia" w:ascii="宋体" w:hAnsi="宋体" w:cs="宋体"/>
          <w:sz w:val="24"/>
          <w:highlight w:val="none"/>
        </w:rPr>
        <w:t>单位负责人为同一人或者存在直接控股、管理关系的不同</w:t>
      </w:r>
      <w:r>
        <w:rPr>
          <w:rFonts w:hint="eastAsia" w:ascii="宋体" w:hAnsi="宋体" w:cs="宋体"/>
          <w:sz w:val="24"/>
          <w:highlight w:val="none"/>
          <w:lang w:eastAsia="zh-CN"/>
        </w:rPr>
        <w:t>供应商</w:t>
      </w:r>
      <w:r>
        <w:rPr>
          <w:rFonts w:hint="eastAsia" w:ascii="宋体" w:hAnsi="宋体" w:cs="宋体"/>
          <w:sz w:val="24"/>
          <w:highlight w:val="none"/>
        </w:rPr>
        <w:t>，不得同时参加本次</w:t>
      </w:r>
      <w:r>
        <w:rPr>
          <w:rFonts w:hint="eastAsia" w:ascii="宋体" w:hAnsi="宋体" w:cs="宋体"/>
          <w:sz w:val="24"/>
          <w:highlight w:val="none"/>
          <w:lang w:eastAsia="zh-CN"/>
        </w:rPr>
        <w:t>采购</w:t>
      </w:r>
      <w:r>
        <w:rPr>
          <w:rFonts w:hint="eastAsia" w:ascii="宋体" w:hAnsi="宋体" w:cs="宋体"/>
          <w:sz w:val="24"/>
          <w:highlight w:val="none"/>
        </w:rPr>
        <w:t>活动，须提供国家企业信用信息公示系统（网址http://www.gsxt.gov.cn/）公示的企业信息网页截图，至少应包含股东信息，</w:t>
      </w:r>
      <w:r>
        <w:rPr>
          <w:rFonts w:hint="eastAsia" w:ascii="宋体" w:hAnsi="宋体" w:cs="宋体"/>
          <w:b/>
          <w:bCs/>
          <w:sz w:val="24"/>
          <w:highlight w:val="none"/>
        </w:rPr>
        <w:t>查询日期为本公告发布之日起，网站截图应含有日期且显示查询结果；</w:t>
      </w:r>
    </w:p>
    <w:p w14:paraId="6142C7EC">
      <w:pPr>
        <w:pageBreakBefore w:val="0"/>
        <w:kinsoku/>
        <w:overflowPunct/>
        <w:topLinePunct w:val="0"/>
        <w:bidi w:val="0"/>
        <w:spacing w:line="360" w:lineRule="auto"/>
        <w:ind w:firstLine="480" w:firstLineChars="200"/>
        <w:jc w:val="left"/>
        <w:outlineLvl w:val="9"/>
        <w:rPr>
          <w:rFonts w:hint="eastAsia"/>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本项目不接受联合体磋商</w:t>
      </w:r>
      <w:r>
        <w:rPr>
          <w:rFonts w:hint="eastAsia" w:ascii="宋体" w:hAnsi="宋体" w:eastAsia="宋体" w:cs="宋体"/>
          <w:sz w:val="24"/>
          <w:szCs w:val="24"/>
          <w:highlight w:val="none"/>
          <w:lang w:eastAsia="zh-CN"/>
        </w:rPr>
        <w:t>，</w:t>
      </w:r>
      <w:r>
        <w:rPr>
          <w:rFonts w:hint="eastAsia"/>
          <w:sz w:val="24"/>
          <w:szCs w:val="24"/>
          <w:highlight w:val="none"/>
          <w:lang w:val="en-US" w:eastAsia="zh-CN"/>
        </w:rPr>
        <w:t>供应商须提供非联合体承诺书（承诺书格式自拟）。</w:t>
      </w:r>
    </w:p>
    <w:p w14:paraId="63B4F1C8">
      <w:pPr>
        <w:pageBreakBefore w:val="0"/>
        <w:kinsoku/>
        <w:overflowPunct/>
        <w:topLinePunct w:val="0"/>
        <w:bidi w:val="0"/>
        <w:spacing w:line="360" w:lineRule="auto"/>
        <w:ind w:firstLine="480" w:firstLineChars="200"/>
        <w:jc w:val="left"/>
        <w:outlineLvl w:val="9"/>
        <w:rPr>
          <w:rFonts w:hint="eastAsia" w:ascii="宋体" w:hAnsi="宋体" w:eastAsia="宋体" w:cs="宋体"/>
          <w:sz w:val="24"/>
          <w:szCs w:val="24"/>
          <w:highlight w:val="none"/>
        </w:rPr>
      </w:pPr>
    </w:p>
    <w:p w14:paraId="71DF58B5">
      <w:pPr>
        <w:pageBreakBefore w:val="0"/>
        <w:kinsoku/>
        <w:overflowPunct/>
        <w:topLinePunct w:val="0"/>
        <w:bidi w:val="0"/>
        <w:spacing w:line="360" w:lineRule="auto"/>
        <w:ind w:firstLine="480" w:firstLineChars="200"/>
        <w:jc w:val="left"/>
        <w:outlineLvl w:val="9"/>
        <w:rPr>
          <w:rFonts w:hint="eastAsia" w:ascii="宋体" w:hAnsi="宋体" w:eastAsia="宋体" w:cs="宋体"/>
          <w:sz w:val="24"/>
          <w:szCs w:val="24"/>
          <w:highlight w:val="none"/>
        </w:rPr>
      </w:pPr>
    </w:p>
    <w:p w14:paraId="4FD837A8">
      <w:pPr>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br w:type="page"/>
      </w:r>
    </w:p>
    <w:p w14:paraId="2B9286C2">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t>九、履职尽责承诺</w:t>
      </w:r>
    </w:p>
    <w:p w14:paraId="634E616F">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（供应商依据评分标准，在此附履职尽责承诺）</w:t>
      </w:r>
    </w:p>
    <w:p w14:paraId="58591315">
      <w:pPr>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br w:type="page"/>
      </w:r>
    </w:p>
    <w:p w14:paraId="07B887C4">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t>十、优惠承诺</w:t>
      </w:r>
    </w:p>
    <w:p w14:paraId="1613AFC2">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（供应商依据评分标准，在此附优惠承诺）</w:t>
      </w:r>
    </w:p>
    <w:p w14:paraId="27E08DC4">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sz w:val="32"/>
          <w:szCs w:val="32"/>
          <w:highlight w:val="none"/>
          <w:lang w:eastAsia="zh-CN"/>
        </w:rPr>
      </w:pPr>
    </w:p>
    <w:p w14:paraId="4D804192">
      <w:pPr>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br w:type="page"/>
      </w:r>
    </w:p>
    <w:p w14:paraId="6F8F2192">
      <w:pPr>
        <w:jc w:val="center"/>
        <w:outlineLvl w:val="9"/>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十一、其他资料</w:t>
      </w:r>
    </w:p>
    <w:p w14:paraId="77812594">
      <w:pPr>
        <w:jc w:val="center"/>
        <w:outlineLvl w:val="0"/>
        <w:rPr>
          <w:rFonts w:hint="eastAsia" w:ascii="宋体" w:hAnsi="宋体" w:eastAsia="宋体" w:cs="宋体"/>
          <w:b/>
          <w:color w:val="auto"/>
          <w:sz w:val="32"/>
          <w:szCs w:val="32"/>
          <w:highlight w:val="none"/>
        </w:rPr>
      </w:pPr>
      <w:bookmarkStart w:id="1359" w:name="_Toc19432"/>
      <w:r>
        <w:rPr>
          <w:rFonts w:hint="eastAsia" w:ascii="宋体" w:hAnsi="宋体" w:eastAsia="宋体" w:cs="宋体"/>
          <w:b/>
          <w:color w:val="auto"/>
          <w:sz w:val="32"/>
          <w:szCs w:val="32"/>
          <w:highlight w:val="none"/>
          <w:lang w:eastAsia="zh-CN"/>
        </w:rPr>
        <w:t>（一）</w:t>
      </w:r>
      <w:r>
        <w:rPr>
          <w:rFonts w:hint="eastAsia" w:ascii="宋体" w:hAnsi="宋体" w:eastAsia="宋体" w:cs="宋体"/>
          <w:b/>
          <w:color w:val="auto"/>
          <w:sz w:val="32"/>
          <w:szCs w:val="32"/>
          <w:highlight w:val="none"/>
        </w:rPr>
        <w:t>承诺书</w:t>
      </w:r>
      <w:bookmarkEnd w:id="1359"/>
    </w:p>
    <w:p w14:paraId="79D71694">
      <w:pPr>
        <w:spacing w:before="312" w:beforeLines="100" w:after="312" w:afterLines="100"/>
        <w:jc w:val="center"/>
        <w:rPr>
          <w:rFonts w:hint="eastAsia" w:ascii="宋体" w:hAnsi="宋体" w:eastAsia="宋体" w:cs="宋体"/>
          <w:color w:val="auto"/>
          <w:sz w:val="32"/>
          <w:szCs w:val="28"/>
          <w:highlight w:val="none"/>
        </w:rPr>
      </w:pPr>
      <w:r>
        <w:rPr>
          <w:rFonts w:hint="eastAsia" w:ascii="宋体" w:hAnsi="宋体" w:eastAsia="宋体" w:cs="宋体"/>
          <w:color w:val="auto"/>
          <w:sz w:val="32"/>
          <w:szCs w:val="28"/>
          <w:highlight w:val="none"/>
        </w:rPr>
        <w:t>承诺书</w:t>
      </w:r>
    </w:p>
    <w:p w14:paraId="62EABC8F">
      <w:pPr>
        <w:spacing w:after="312" w:afterLines="100" w:line="440" w:lineRule="exact"/>
        <w:rPr>
          <w:rFonts w:hint="eastAsia" w:ascii="宋体" w:hAnsi="宋体" w:eastAsia="宋体" w:cs="宋体"/>
          <w:color w:val="auto"/>
          <w:sz w:val="24"/>
          <w:highlight w:val="none"/>
        </w:rPr>
      </w:pPr>
      <w:r>
        <w:rPr>
          <w:rFonts w:hint="eastAsia" w:ascii="宋体" w:hAnsi="宋体" w:eastAsia="宋体" w:cs="宋体"/>
          <w:color w:val="auto"/>
          <w:position w:val="-7"/>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人名称）：</w:t>
      </w:r>
    </w:p>
    <w:p w14:paraId="50974575">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我方在此声明， 中标后能够及时、足额存入农民工工资保障金。一旦其承包的建筑工程项目中出现拖欠农民工工资情况的，可由建设行政主管部门从农民工工资保障金中先予划支。</w:t>
      </w:r>
    </w:p>
    <w:p w14:paraId="4D505584">
      <w:pPr>
        <w:spacing w:line="440" w:lineRule="exact"/>
        <w:ind w:firstLine="480" w:firstLineChars="200"/>
        <w:rPr>
          <w:rFonts w:hint="eastAsia" w:ascii="宋体" w:hAnsi="宋体" w:eastAsia="宋体" w:cs="宋体"/>
          <w:color w:val="auto"/>
          <w:sz w:val="24"/>
          <w:highlight w:val="none"/>
        </w:rPr>
      </w:pPr>
    </w:p>
    <w:p w14:paraId="42438E18">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2E635AA5">
      <w:pPr>
        <w:spacing w:line="440" w:lineRule="exact"/>
        <w:ind w:firstLine="480" w:firstLineChars="200"/>
        <w:rPr>
          <w:rFonts w:hint="eastAsia" w:ascii="宋体" w:hAnsi="宋体" w:eastAsia="宋体" w:cs="宋体"/>
          <w:color w:val="auto"/>
          <w:sz w:val="24"/>
          <w:highlight w:val="none"/>
        </w:rPr>
      </w:pPr>
    </w:p>
    <w:p w14:paraId="345EC097">
      <w:pPr>
        <w:spacing w:line="440" w:lineRule="exact"/>
        <w:rPr>
          <w:rFonts w:hint="eastAsia" w:ascii="宋体" w:hAnsi="宋体" w:eastAsia="宋体" w:cs="宋体"/>
          <w:color w:val="auto"/>
          <w:sz w:val="24"/>
          <w:highlight w:val="none"/>
        </w:rPr>
      </w:pPr>
    </w:p>
    <w:p w14:paraId="33F64B56">
      <w:pPr>
        <w:spacing w:line="440" w:lineRule="exact"/>
        <w:ind w:firstLine="480" w:firstLineChars="200"/>
        <w:rPr>
          <w:rFonts w:hint="eastAsia" w:ascii="宋体" w:hAnsi="宋体" w:eastAsia="宋体" w:cs="宋体"/>
          <w:color w:val="auto"/>
          <w:sz w:val="24"/>
          <w:highlight w:val="none"/>
        </w:rPr>
      </w:pPr>
    </w:p>
    <w:p w14:paraId="64A7AB12">
      <w:pPr>
        <w:spacing w:line="44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：（盖单位</w:t>
      </w:r>
      <w:r>
        <w:rPr>
          <w:rFonts w:hint="eastAsia" w:ascii="宋体" w:hAnsi="宋体" w:eastAsia="宋体" w:cs="宋体"/>
          <w:color w:val="auto"/>
          <w:sz w:val="24"/>
          <w:highlight w:val="none"/>
          <w:lang w:eastAsia="zh-CN"/>
        </w:rPr>
        <w:t>公</w:t>
      </w:r>
      <w:r>
        <w:rPr>
          <w:rFonts w:hint="eastAsia" w:ascii="宋体" w:hAnsi="宋体" w:eastAsia="宋体" w:cs="宋体"/>
          <w:color w:val="auto"/>
          <w:sz w:val="24"/>
          <w:highlight w:val="none"/>
        </w:rPr>
        <w:t>章）</w:t>
      </w:r>
    </w:p>
    <w:p w14:paraId="53D6F1D9">
      <w:pPr>
        <w:spacing w:line="440" w:lineRule="exact"/>
        <w:jc w:val="right"/>
        <w:rPr>
          <w:rFonts w:hint="eastAsia" w:ascii="宋体" w:hAnsi="宋体" w:eastAsia="宋体" w:cs="宋体"/>
          <w:color w:val="auto"/>
          <w:sz w:val="24"/>
          <w:highlight w:val="none"/>
        </w:rPr>
      </w:pPr>
    </w:p>
    <w:p w14:paraId="54F516D3">
      <w:pPr>
        <w:spacing w:line="44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法定代表人：（签章）</w:t>
      </w:r>
    </w:p>
    <w:p w14:paraId="4CF916DD">
      <w:pPr>
        <w:spacing w:line="440" w:lineRule="exact"/>
        <w:jc w:val="right"/>
        <w:rPr>
          <w:rFonts w:hint="eastAsia" w:ascii="宋体" w:hAnsi="宋体" w:eastAsia="宋体" w:cs="宋体"/>
          <w:color w:val="auto"/>
          <w:sz w:val="24"/>
          <w:highlight w:val="none"/>
        </w:rPr>
      </w:pPr>
    </w:p>
    <w:p w14:paraId="220BB73F">
      <w:pPr>
        <w:spacing w:line="44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656713B5">
      <w:pPr>
        <w:pageBreakBefore w:val="0"/>
        <w:kinsoku/>
        <w:overflowPunct/>
        <w:topLinePunct w:val="0"/>
        <w:bidi w:val="0"/>
        <w:outlineLvl w:val="9"/>
        <w:rPr>
          <w:rFonts w:hint="eastAsia" w:ascii="宋体" w:hAnsi="宋体" w:eastAsia="宋体" w:cs="宋体"/>
          <w:szCs w:val="21"/>
          <w:highlight w:val="none"/>
        </w:rPr>
      </w:pPr>
    </w:p>
    <w:p w14:paraId="43B8F2D7">
      <w:pPr>
        <w:pageBreakBefore w:val="0"/>
        <w:kinsoku/>
        <w:overflowPunct/>
        <w:topLinePunct w:val="0"/>
        <w:bidi w:val="0"/>
        <w:outlineLvl w:val="9"/>
        <w:rPr>
          <w:rFonts w:hint="eastAsia" w:ascii="宋体" w:hAnsi="宋体" w:eastAsia="宋体" w:cs="宋体"/>
          <w:szCs w:val="21"/>
          <w:highlight w:val="none"/>
        </w:rPr>
      </w:pPr>
    </w:p>
    <w:p w14:paraId="432F0620">
      <w:pPr>
        <w:spacing w:line="360" w:lineRule="auto"/>
        <w:jc w:val="center"/>
        <w:outlineLvl w:val="9"/>
        <w:rPr>
          <w:rFonts w:hint="eastAsia" w:ascii="宋体" w:hAnsi="宋体" w:cs="宋体"/>
          <w:b/>
          <w:color w:val="auto"/>
          <w:sz w:val="32"/>
          <w:szCs w:val="32"/>
          <w:highlight w:val="none"/>
          <w:lang w:eastAsia="zh-CN"/>
        </w:rPr>
      </w:pPr>
    </w:p>
    <w:p w14:paraId="7F1FCFE8">
      <w:pPr>
        <w:spacing w:line="360" w:lineRule="auto"/>
        <w:jc w:val="center"/>
        <w:outlineLvl w:val="9"/>
        <w:rPr>
          <w:rFonts w:hint="eastAsia" w:ascii="宋体" w:hAnsi="宋体" w:cs="宋体"/>
          <w:b/>
          <w:color w:val="auto"/>
          <w:sz w:val="32"/>
          <w:szCs w:val="32"/>
          <w:highlight w:val="none"/>
          <w:lang w:eastAsia="zh-CN"/>
        </w:rPr>
      </w:pPr>
    </w:p>
    <w:p w14:paraId="29EB7E90">
      <w:pPr>
        <w:spacing w:line="360" w:lineRule="auto"/>
        <w:jc w:val="center"/>
        <w:outlineLvl w:val="9"/>
        <w:rPr>
          <w:rFonts w:hint="eastAsia" w:ascii="宋体" w:hAnsi="宋体" w:cs="宋体"/>
          <w:b/>
          <w:color w:val="auto"/>
          <w:sz w:val="32"/>
          <w:szCs w:val="32"/>
          <w:highlight w:val="none"/>
          <w:lang w:eastAsia="zh-CN"/>
        </w:rPr>
      </w:pPr>
    </w:p>
    <w:p w14:paraId="68B14207">
      <w:pPr>
        <w:spacing w:line="360" w:lineRule="auto"/>
        <w:jc w:val="center"/>
        <w:outlineLvl w:val="9"/>
        <w:rPr>
          <w:rFonts w:hint="eastAsia" w:ascii="宋体" w:hAnsi="宋体" w:cs="宋体"/>
          <w:b/>
          <w:color w:val="auto"/>
          <w:sz w:val="32"/>
          <w:szCs w:val="32"/>
          <w:highlight w:val="none"/>
          <w:lang w:eastAsia="zh-CN"/>
        </w:rPr>
      </w:pPr>
    </w:p>
    <w:p w14:paraId="2FC5399B">
      <w:pPr>
        <w:spacing w:line="360" w:lineRule="auto"/>
        <w:jc w:val="center"/>
        <w:outlineLvl w:val="9"/>
        <w:rPr>
          <w:rFonts w:hint="eastAsia" w:ascii="宋体" w:hAnsi="宋体" w:cs="宋体"/>
          <w:b/>
          <w:color w:val="auto"/>
          <w:sz w:val="32"/>
          <w:szCs w:val="32"/>
          <w:highlight w:val="none"/>
          <w:lang w:eastAsia="zh-CN"/>
        </w:rPr>
      </w:pPr>
    </w:p>
    <w:p w14:paraId="5F96695D">
      <w:pPr>
        <w:spacing w:line="360" w:lineRule="auto"/>
        <w:jc w:val="center"/>
        <w:outlineLvl w:val="9"/>
        <w:rPr>
          <w:rFonts w:hint="eastAsia" w:ascii="宋体" w:hAnsi="宋体" w:cs="宋体"/>
          <w:b/>
          <w:color w:val="auto"/>
          <w:sz w:val="32"/>
          <w:szCs w:val="32"/>
          <w:highlight w:val="none"/>
          <w:lang w:eastAsia="zh-CN"/>
        </w:rPr>
      </w:pPr>
    </w:p>
    <w:p w14:paraId="5E7EE2B6">
      <w:pPr>
        <w:spacing w:line="360" w:lineRule="auto"/>
        <w:jc w:val="center"/>
        <w:outlineLvl w:val="9"/>
        <w:rPr>
          <w:rFonts w:hint="eastAsia" w:ascii="宋体" w:hAnsi="宋体" w:cs="宋体"/>
          <w:b/>
          <w:color w:val="auto"/>
          <w:sz w:val="32"/>
          <w:szCs w:val="32"/>
          <w:highlight w:val="none"/>
          <w:lang w:eastAsia="zh-CN"/>
        </w:rPr>
      </w:pPr>
    </w:p>
    <w:p w14:paraId="438993B0">
      <w:pPr>
        <w:spacing w:line="360" w:lineRule="auto"/>
        <w:jc w:val="center"/>
        <w:outlineLvl w:val="0"/>
        <w:rPr>
          <w:rFonts w:hint="eastAsia" w:ascii="宋体" w:hAnsi="宋体" w:eastAsia="宋体" w:cs="宋体"/>
          <w:b/>
          <w:color w:val="auto"/>
          <w:sz w:val="32"/>
          <w:szCs w:val="32"/>
          <w:highlight w:val="none"/>
        </w:rPr>
      </w:pPr>
      <w:bookmarkStart w:id="1360" w:name="_Toc27614"/>
      <w:r>
        <w:rPr>
          <w:rFonts w:hint="eastAsia" w:ascii="宋体" w:hAnsi="宋体" w:cs="宋体"/>
          <w:b/>
          <w:color w:val="auto"/>
          <w:sz w:val="32"/>
          <w:szCs w:val="32"/>
          <w:highlight w:val="none"/>
          <w:lang w:eastAsia="zh-CN"/>
        </w:rPr>
        <w:t>（</w:t>
      </w:r>
      <w:r>
        <w:rPr>
          <w:rFonts w:hint="eastAsia" w:ascii="宋体" w:hAnsi="宋体" w:cs="宋体"/>
          <w:b/>
          <w:color w:val="auto"/>
          <w:sz w:val="32"/>
          <w:szCs w:val="32"/>
          <w:highlight w:val="none"/>
          <w:lang w:val="en-US" w:eastAsia="zh-CN"/>
        </w:rPr>
        <w:t>二</w:t>
      </w:r>
      <w:r>
        <w:rPr>
          <w:rFonts w:hint="eastAsia" w:ascii="宋体" w:hAnsi="宋体" w:cs="宋体"/>
          <w:b/>
          <w:color w:val="auto"/>
          <w:sz w:val="32"/>
          <w:szCs w:val="32"/>
          <w:highlight w:val="none"/>
          <w:lang w:eastAsia="zh-CN"/>
        </w:rPr>
        <w:t>）</w:t>
      </w:r>
      <w:r>
        <w:rPr>
          <w:rFonts w:hint="eastAsia" w:ascii="宋体" w:hAnsi="宋体" w:eastAsia="宋体" w:cs="宋体"/>
          <w:b/>
          <w:color w:val="auto"/>
          <w:sz w:val="32"/>
          <w:szCs w:val="32"/>
          <w:highlight w:val="none"/>
        </w:rPr>
        <w:t>中小企业声明函</w:t>
      </w:r>
      <w:bookmarkEnd w:id="1360"/>
    </w:p>
    <w:p w14:paraId="68EEE7A1">
      <w:pPr>
        <w:jc w:val="center"/>
        <w:rPr>
          <w:rFonts w:hint="eastAsia" w:ascii="宋体" w:hAnsi="宋体" w:eastAsia="宋体" w:cs="宋体"/>
          <w:b/>
          <w:bCs/>
          <w:iCs/>
          <w:color w:val="auto"/>
          <w:sz w:val="24"/>
          <w:szCs w:val="24"/>
          <w:highlight w:val="none"/>
        </w:rPr>
      </w:pPr>
      <w:r>
        <w:rPr>
          <w:rFonts w:hint="eastAsia" w:ascii="宋体" w:hAnsi="宋体" w:eastAsia="宋体" w:cs="宋体"/>
          <w:b/>
          <w:bCs/>
          <w:iCs/>
          <w:color w:val="auto"/>
          <w:sz w:val="24"/>
          <w:szCs w:val="24"/>
          <w:highlight w:val="none"/>
        </w:rPr>
        <w:t>（属于中小微企业的填写，不属于的无需填写此项内容）</w:t>
      </w:r>
    </w:p>
    <w:p w14:paraId="521F37C7">
      <w:pPr>
        <w:spacing w:line="360" w:lineRule="auto"/>
        <w:ind w:firstLine="480" w:firstLineChars="200"/>
        <w:rPr>
          <w:rFonts w:hint="eastAsia" w:ascii="宋体" w:hAnsi="宋体" w:eastAsia="宋体" w:cs="宋体"/>
          <w:color w:val="auto"/>
          <w:sz w:val="24"/>
          <w:szCs w:val="24"/>
          <w:highlight w:val="none"/>
        </w:rPr>
      </w:pPr>
    </w:p>
    <w:p w14:paraId="66F2AA5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本公司郑重声明，根据《政府采购促进中小企业发展管理办法》（财库﹝ 2020﹞46号）的规定，本公司参加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 xml:space="preserve"> 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sz w:val="24"/>
          <w:highlight w:val="none"/>
          <w:u w:val="single"/>
        </w:rPr>
        <w:t>（项目名称</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标段</w:t>
      </w:r>
      <w:r>
        <w:rPr>
          <w:rFonts w:hint="eastAsia" w:ascii="宋体" w:hAnsi="宋体" w:cs="宋体"/>
          <w:sz w:val="24"/>
          <w:highlight w:val="none"/>
          <w:u w:val="single"/>
        </w:rPr>
        <w:t>）</w:t>
      </w:r>
      <w:r>
        <w:rPr>
          <w:rFonts w:hint="eastAsia" w:ascii="宋体" w:hAnsi="宋体" w:eastAsia="宋体" w:cs="宋体"/>
          <w:color w:val="auto"/>
          <w:sz w:val="24"/>
          <w:szCs w:val="24"/>
          <w:highlight w:val="none"/>
        </w:rPr>
        <w:t xml:space="preserve"> 采购活动，提供的货物全部由符合政策要求的中小企业制造，具体情况如下：</w:t>
      </w:r>
    </w:p>
    <w:p w14:paraId="55607D1A">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 xml:space="preserve"> ，属于</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建筑业</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 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 小型企业、 微型企业）</w:t>
      </w:r>
      <w:r>
        <w:rPr>
          <w:rFonts w:hint="eastAsia" w:ascii="宋体" w:hAnsi="宋体" w:eastAsia="宋体" w:cs="宋体"/>
          <w:color w:val="auto"/>
          <w:sz w:val="24"/>
          <w:szCs w:val="24"/>
          <w:highlight w:val="none"/>
        </w:rPr>
        <w:t>；</w:t>
      </w:r>
    </w:p>
    <w:p w14:paraId="7BB7F92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本企业不属于大企业的分支机构，不存在控股股东为大企业的情形，也不存在与大企业的负责人为同一人的情形。</w:t>
      </w:r>
    </w:p>
    <w:p w14:paraId="098C070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4908F965">
      <w:pPr>
        <w:spacing w:line="360" w:lineRule="auto"/>
        <w:ind w:firstLine="480" w:firstLine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3F18B0D8">
      <w:pPr>
        <w:spacing w:line="360" w:lineRule="auto"/>
        <w:ind w:firstLine="480" w:firstLineChars="200"/>
        <w:jc w:val="center"/>
        <w:rPr>
          <w:rFonts w:hint="eastAsia" w:ascii="宋体" w:hAnsi="宋体" w:eastAsia="宋体" w:cs="宋体"/>
          <w:color w:val="auto"/>
          <w:sz w:val="24"/>
          <w:szCs w:val="24"/>
          <w:highlight w:val="none"/>
          <w:lang w:val="en-US" w:eastAsia="zh-CN"/>
        </w:rPr>
      </w:pPr>
    </w:p>
    <w:p w14:paraId="4BF4D939">
      <w:pPr>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企业名称（盖章）：</w:t>
      </w:r>
    </w:p>
    <w:p w14:paraId="7777D5B4">
      <w:pPr>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p>
    <w:p w14:paraId="035D3DF8">
      <w:pPr>
        <w:spacing w:line="360" w:lineRule="auto"/>
        <w:ind w:firstLine="480" w:firstLineChars="200"/>
        <w:rPr>
          <w:rFonts w:hint="eastAsia" w:ascii="宋体" w:hAnsi="宋体" w:eastAsia="宋体" w:cs="宋体"/>
          <w:color w:val="auto"/>
          <w:sz w:val="24"/>
          <w:szCs w:val="24"/>
          <w:highlight w:val="none"/>
        </w:rPr>
      </w:pPr>
    </w:p>
    <w:p w14:paraId="71E2CF53">
      <w:pPr>
        <w:spacing w:line="360" w:lineRule="auto"/>
        <w:ind w:firstLine="480" w:firstLineChars="200"/>
        <w:rPr>
          <w:rFonts w:hint="eastAsia" w:ascii="宋体" w:hAnsi="宋体" w:eastAsia="宋体" w:cs="宋体"/>
          <w:color w:val="auto"/>
          <w:sz w:val="24"/>
          <w:szCs w:val="24"/>
          <w:highlight w:val="none"/>
        </w:rPr>
      </w:pPr>
    </w:p>
    <w:p w14:paraId="0983A82B">
      <w:pPr>
        <w:spacing w:line="360" w:lineRule="auto"/>
        <w:ind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注：从业人员、营业收入、资产总额填报上一年度数据，无上一年度数据的新成立企业可不填报。</w:t>
      </w:r>
    </w:p>
    <w:p w14:paraId="3FDD1809">
      <w:pPr>
        <w:pStyle w:val="14"/>
        <w:rPr>
          <w:color w:val="auto"/>
          <w:highlight w:val="none"/>
        </w:rPr>
      </w:pPr>
    </w:p>
    <w:p w14:paraId="65F2F298">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1"/>
          <w:szCs w:val="21"/>
          <w:highlight w:val="none"/>
        </w:rPr>
      </w:pPr>
    </w:p>
    <w:p w14:paraId="63739045">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1"/>
          <w:szCs w:val="21"/>
          <w:highlight w:val="none"/>
        </w:rPr>
      </w:pPr>
    </w:p>
    <w:p w14:paraId="19182FAF">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1"/>
          <w:szCs w:val="21"/>
          <w:highlight w:val="none"/>
        </w:rPr>
      </w:pPr>
    </w:p>
    <w:p w14:paraId="552E8955">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1"/>
          <w:szCs w:val="21"/>
          <w:highlight w:val="none"/>
        </w:rPr>
      </w:pPr>
    </w:p>
    <w:p w14:paraId="49B5DF99">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1"/>
          <w:szCs w:val="21"/>
          <w:highlight w:val="none"/>
        </w:rPr>
      </w:pPr>
    </w:p>
    <w:p w14:paraId="366EB53D">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1"/>
          <w:szCs w:val="21"/>
          <w:highlight w:val="none"/>
        </w:rPr>
      </w:pPr>
    </w:p>
    <w:p w14:paraId="53CEA1DA">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1"/>
          <w:szCs w:val="21"/>
          <w:highlight w:val="none"/>
        </w:rPr>
      </w:pPr>
    </w:p>
    <w:p w14:paraId="610CE484">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1"/>
          <w:szCs w:val="21"/>
          <w:highlight w:val="none"/>
        </w:rPr>
      </w:pPr>
    </w:p>
    <w:p w14:paraId="14AECC42">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 xml:space="preserve">                         </w:t>
      </w:r>
    </w:p>
    <w:p w14:paraId="566BB6A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中小企业划型标准规定</w:t>
      </w:r>
    </w:p>
    <w:p w14:paraId="48511CD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一、根据《中华人民共和国中小企业促进法》和《国务院关于进一步促进中小企业发展的若干意见》（国发〔2009〕36号)，制定本规定。</w:t>
      </w:r>
    </w:p>
    <w:p w14:paraId="11E05F8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二、中小企业划分为中型、小型、微型三种类型，具体标准根据企业从业人员、营业收入、资产总额等指标，结合行业特点制定。</w:t>
      </w:r>
    </w:p>
    <w:p w14:paraId="1F23853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1E49FB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四、各行业划型标准为：</w:t>
      </w:r>
    </w:p>
    <w:p w14:paraId="533AC98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（一）农、林、牧、渔业。营业收入20000万元以下的为中小微型企业。其中，营业收入500万元及以上的为中型企业，营业收入50万元及以上的为小型企业，营业收入50万元以下的为微型企业。</w:t>
      </w:r>
    </w:p>
    <w:p w14:paraId="48BD53E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59901D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430DFC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C5492E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823144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855C65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486FE3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5998A7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091BE5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17DA4D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0E039C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802F37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7EA3B2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A37EB5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2D5156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（十六）其他未列明行业。从业人员300人以下的为中小微型企业。其中，从业人员100人及以上的为中型企业；从业人员10人及以上的为小型企业；从业人员10人以下的为微型企业。</w:t>
      </w:r>
    </w:p>
    <w:p w14:paraId="7F401A0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五、企业类型的划分以统计部门的统计数据为依据。</w:t>
      </w:r>
    </w:p>
    <w:p w14:paraId="56F9892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六、本规定适用于在中华人民共和国境内依法设立的各类所有制和各种组织形式的企业。个体工商户和本规定以外的行业，参照本规定进行划型。</w:t>
      </w:r>
    </w:p>
    <w:p w14:paraId="31D98EB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6EB4EF9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八、本规定由工业和信息化部、国家统计局会同有关部门根据《国民经济行业分类》修订情况和企业发展变化情况适时修订。</w:t>
      </w:r>
    </w:p>
    <w:p w14:paraId="0A5CB81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九、本规定由工业和信息化部、国家统计局会同有关部门负责解释。</w:t>
      </w:r>
    </w:p>
    <w:p w14:paraId="7D7CD904">
      <w:pPr>
        <w:spacing w:line="360" w:lineRule="auto"/>
        <w:ind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十、本规定自发布之日起执行，原国家经贸委、原国家计委、财政部和国家统计局2003年颁布的《中小企业标准暂行规定》国经贸中小企[2003]143号同时废止。</w:t>
      </w:r>
    </w:p>
    <w:p w14:paraId="3EC82212">
      <w:pPr>
        <w:spacing w:before="160" w:after="160" w:line="240" w:lineRule="atLeast"/>
        <w:ind w:left="851" w:firstLine="643" w:firstLineChars="200"/>
        <w:jc w:val="center"/>
        <w:textAlignment w:val="baseline"/>
        <w:outlineLvl w:val="9"/>
        <w:rPr>
          <w:rFonts w:hint="eastAsia" w:ascii="宋体" w:hAnsi="宋体" w:eastAsia="宋体" w:cs="宋体"/>
          <w:b/>
          <w:color w:val="auto"/>
          <w:kern w:val="0"/>
          <w:sz w:val="32"/>
          <w:szCs w:val="32"/>
          <w:highlight w:val="none"/>
        </w:rPr>
      </w:pPr>
    </w:p>
    <w:p w14:paraId="476B8165">
      <w:pPr>
        <w:pStyle w:val="14"/>
        <w:rPr>
          <w:rFonts w:hint="eastAsia" w:ascii="宋体" w:hAnsi="宋体" w:eastAsia="宋体" w:cs="宋体"/>
          <w:color w:val="auto"/>
          <w:highlight w:val="none"/>
        </w:rPr>
      </w:pPr>
    </w:p>
    <w:p w14:paraId="4DD479A0">
      <w:pPr>
        <w:spacing w:line="360" w:lineRule="auto"/>
        <w:jc w:val="center"/>
        <w:outlineLvl w:val="0"/>
        <w:rPr>
          <w:rFonts w:hint="eastAsia" w:ascii="宋体" w:hAnsi="宋体" w:eastAsia="宋体" w:cs="宋体"/>
          <w:b/>
          <w:bCs/>
          <w:color w:val="auto"/>
          <w:sz w:val="32"/>
          <w:szCs w:val="32"/>
          <w:highlight w:val="none"/>
        </w:rPr>
      </w:pPr>
      <w:bookmarkStart w:id="1361" w:name="_Toc14837"/>
      <w:r>
        <w:rPr>
          <w:rFonts w:hint="eastAsia" w:ascii="宋体" w:hAnsi="宋体" w:cs="宋体"/>
          <w:b/>
          <w:bCs/>
          <w:color w:val="auto"/>
          <w:sz w:val="32"/>
          <w:szCs w:val="32"/>
          <w:highlight w:val="none"/>
          <w:lang w:eastAsia="zh-CN"/>
        </w:rPr>
        <w:t>（</w:t>
      </w:r>
      <w:r>
        <w:rPr>
          <w:rFonts w:hint="eastAsia" w:ascii="宋体" w:hAnsi="宋体" w:cs="宋体"/>
          <w:b/>
          <w:bCs/>
          <w:color w:val="auto"/>
          <w:sz w:val="32"/>
          <w:szCs w:val="32"/>
          <w:highlight w:val="none"/>
          <w:lang w:val="en-US" w:eastAsia="zh-CN"/>
        </w:rPr>
        <w:t>三</w:t>
      </w:r>
      <w:r>
        <w:rPr>
          <w:rFonts w:hint="eastAsia" w:ascii="宋体" w:hAnsi="宋体" w:cs="宋体"/>
          <w:b/>
          <w:bCs/>
          <w:color w:val="auto"/>
          <w:sz w:val="32"/>
          <w:szCs w:val="32"/>
          <w:highlight w:val="none"/>
          <w:lang w:eastAsia="zh-CN"/>
        </w:rPr>
        <w:t>）</w:t>
      </w:r>
      <w:r>
        <w:rPr>
          <w:rFonts w:hint="eastAsia" w:ascii="宋体" w:hAnsi="宋体" w:eastAsia="宋体" w:cs="宋体"/>
          <w:b/>
          <w:bCs/>
          <w:color w:val="auto"/>
          <w:sz w:val="32"/>
          <w:szCs w:val="32"/>
          <w:highlight w:val="none"/>
        </w:rPr>
        <w:t>残疾人福利性单位声明函</w:t>
      </w:r>
      <w:bookmarkEnd w:id="1361"/>
    </w:p>
    <w:p w14:paraId="187474F0">
      <w:pPr>
        <w:jc w:val="center"/>
        <w:rPr>
          <w:rFonts w:hint="eastAsia" w:ascii="宋体" w:hAnsi="宋体" w:eastAsia="宋体" w:cs="宋体"/>
          <w:b/>
          <w:bCs/>
          <w:color w:val="auto"/>
          <w:sz w:val="32"/>
          <w:szCs w:val="32"/>
          <w:highlight w:val="none"/>
        </w:rPr>
      </w:pPr>
      <w:r>
        <w:rPr>
          <w:rFonts w:hint="eastAsia" w:ascii="宋体" w:hAnsi="宋体" w:eastAsia="宋体" w:cs="宋体"/>
          <w:b/>
          <w:bCs/>
          <w:iCs/>
          <w:color w:val="auto"/>
          <w:sz w:val="24"/>
          <w:szCs w:val="24"/>
          <w:highlight w:val="none"/>
        </w:rPr>
        <w:t>（属于残疾人福利性单位的填写，不属于的无需填写此项内容）</w:t>
      </w:r>
    </w:p>
    <w:p w14:paraId="0C727BD2">
      <w:pPr>
        <w:snapToGrid w:val="0"/>
        <w:spacing w:line="520" w:lineRule="exact"/>
        <w:ind w:left="1177" w:leftChars="-72" w:right="84" w:rightChars="40" w:hanging="1328" w:hangingChars="415"/>
        <w:jc w:val="center"/>
        <w:rPr>
          <w:rFonts w:hint="eastAsia" w:ascii="宋体" w:hAnsi="宋体" w:eastAsia="宋体" w:cs="宋体"/>
          <w:color w:val="auto"/>
          <w:sz w:val="32"/>
          <w:szCs w:val="32"/>
          <w:highlight w:val="none"/>
        </w:rPr>
      </w:pPr>
    </w:p>
    <w:p w14:paraId="648CB7B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14:paraId="198CF939">
      <w:pPr>
        <w:spacing w:line="360" w:lineRule="auto"/>
        <w:ind w:firstLine="480" w:firstLineChars="200"/>
        <w:rPr>
          <w:rFonts w:hint="eastAsia" w:ascii="宋体" w:hAnsi="宋体" w:eastAsia="宋体" w:cs="宋体"/>
          <w:b/>
          <w:bCs/>
          <w:color w:val="auto"/>
          <w:sz w:val="32"/>
          <w:szCs w:val="32"/>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298A0C23">
      <w:pPr>
        <w:spacing w:line="360" w:lineRule="auto"/>
        <w:jc w:val="center"/>
        <w:rPr>
          <w:rFonts w:hint="eastAsia" w:ascii="宋体" w:hAnsi="宋体" w:eastAsia="宋体" w:cs="宋体"/>
          <w:b/>
          <w:bCs/>
          <w:color w:val="auto"/>
          <w:sz w:val="32"/>
          <w:szCs w:val="32"/>
          <w:highlight w:val="none"/>
        </w:rPr>
      </w:pPr>
    </w:p>
    <w:p w14:paraId="6F55A56E">
      <w:pPr>
        <w:spacing w:line="360" w:lineRule="auto"/>
        <w:ind w:firstLine="480" w:firstLine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0B429001">
      <w:pPr>
        <w:spacing w:line="360" w:lineRule="auto"/>
        <w:ind w:firstLine="480" w:firstLineChars="200"/>
        <w:jc w:val="center"/>
        <w:rPr>
          <w:rFonts w:hint="eastAsia" w:ascii="宋体" w:hAnsi="宋体" w:eastAsia="宋体" w:cs="宋体"/>
          <w:color w:val="auto"/>
          <w:sz w:val="24"/>
          <w:szCs w:val="24"/>
          <w:highlight w:val="none"/>
          <w:lang w:val="en-US" w:eastAsia="zh-CN"/>
        </w:rPr>
      </w:pPr>
    </w:p>
    <w:p w14:paraId="591A7010">
      <w:pPr>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单位</w:t>
      </w:r>
      <w:r>
        <w:rPr>
          <w:rFonts w:hint="eastAsia" w:ascii="宋体" w:hAnsi="宋体" w:eastAsia="宋体" w:cs="宋体"/>
          <w:color w:val="auto"/>
          <w:sz w:val="24"/>
          <w:szCs w:val="24"/>
          <w:highlight w:val="none"/>
        </w:rPr>
        <w:t>名称（盖章）：</w:t>
      </w:r>
    </w:p>
    <w:p w14:paraId="707B4E2F">
      <w:pPr>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p>
    <w:p w14:paraId="5CEBC9C8">
      <w:pPr>
        <w:spacing w:line="360" w:lineRule="auto"/>
        <w:jc w:val="center"/>
        <w:rPr>
          <w:rFonts w:hint="eastAsia" w:ascii="宋体" w:hAnsi="宋体" w:eastAsia="宋体" w:cs="宋体"/>
          <w:b/>
          <w:bCs/>
          <w:color w:val="auto"/>
          <w:sz w:val="32"/>
          <w:szCs w:val="32"/>
          <w:highlight w:val="none"/>
        </w:rPr>
      </w:pPr>
    </w:p>
    <w:p w14:paraId="7EEAEDE5">
      <w:pPr>
        <w:spacing w:line="360" w:lineRule="auto"/>
        <w:rPr>
          <w:rFonts w:hint="eastAsia" w:ascii="宋体" w:hAnsi="宋体" w:eastAsia="宋体" w:cs="宋体"/>
          <w:b/>
          <w:bCs/>
          <w:color w:val="auto"/>
          <w:sz w:val="32"/>
          <w:szCs w:val="32"/>
          <w:highlight w:val="none"/>
        </w:rPr>
      </w:pPr>
    </w:p>
    <w:p w14:paraId="2C9359DA">
      <w:pPr>
        <w:spacing w:line="360" w:lineRule="auto"/>
        <w:rPr>
          <w:rFonts w:hint="eastAsia" w:ascii="宋体" w:hAnsi="宋体" w:eastAsia="宋体" w:cs="宋体"/>
          <w:b/>
          <w:bCs/>
          <w:color w:val="auto"/>
          <w:sz w:val="32"/>
          <w:szCs w:val="32"/>
          <w:highlight w:val="none"/>
        </w:rPr>
      </w:pPr>
    </w:p>
    <w:p w14:paraId="3F10526C">
      <w:pPr>
        <w:spacing w:line="360" w:lineRule="auto"/>
        <w:rPr>
          <w:rFonts w:hint="eastAsia" w:ascii="宋体" w:hAnsi="宋体" w:eastAsia="宋体" w:cs="宋体"/>
          <w:b/>
          <w:bCs/>
          <w:color w:val="auto"/>
          <w:sz w:val="32"/>
          <w:szCs w:val="32"/>
          <w:highlight w:val="none"/>
        </w:rPr>
      </w:pPr>
    </w:p>
    <w:p w14:paraId="12C6E05F">
      <w:pPr>
        <w:spacing w:line="360" w:lineRule="auto"/>
        <w:rPr>
          <w:rFonts w:hint="eastAsia" w:ascii="宋体" w:hAnsi="宋体" w:eastAsia="宋体" w:cs="宋体"/>
          <w:b/>
          <w:bCs/>
          <w:color w:val="auto"/>
          <w:sz w:val="32"/>
          <w:szCs w:val="32"/>
          <w:highlight w:val="none"/>
        </w:rPr>
      </w:pPr>
    </w:p>
    <w:p w14:paraId="66411CB5">
      <w:pPr>
        <w:spacing w:line="360" w:lineRule="auto"/>
        <w:rPr>
          <w:rFonts w:hint="eastAsia" w:ascii="宋体" w:hAnsi="宋体" w:eastAsia="宋体" w:cs="宋体"/>
          <w:b/>
          <w:bCs/>
          <w:color w:val="auto"/>
          <w:sz w:val="32"/>
          <w:szCs w:val="32"/>
          <w:highlight w:val="none"/>
        </w:rPr>
      </w:pPr>
    </w:p>
    <w:p w14:paraId="54397838">
      <w:pPr>
        <w:spacing w:line="360" w:lineRule="auto"/>
        <w:rPr>
          <w:rFonts w:hint="eastAsia" w:ascii="宋体" w:hAnsi="宋体" w:eastAsia="宋体" w:cs="宋体"/>
          <w:b/>
          <w:bCs/>
          <w:color w:val="auto"/>
          <w:sz w:val="32"/>
          <w:szCs w:val="32"/>
          <w:highlight w:val="none"/>
        </w:rPr>
      </w:pPr>
    </w:p>
    <w:p w14:paraId="5A940374">
      <w:pPr>
        <w:spacing w:line="360" w:lineRule="auto"/>
        <w:rPr>
          <w:rFonts w:hint="eastAsia" w:ascii="宋体" w:hAnsi="宋体" w:eastAsia="宋体" w:cs="宋体"/>
          <w:b/>
          <w:bCs/>
          <w:color w:val="auto"/>
          <w:sz w:val="32"/>
          <w:szCs w:val="32"/>
          <w:highlight w:val="none"/>
        </w:rPr>
      </w:pPr>
    </w:p>
    <w:p w14:paraId="5D0F46BB">
      <w:pPr>
        <w:spacing w:line="360" w:lineRule="auto"/>
        <w:rPr>
          <w:rFonts w:hint="eastAsia" w:ascii="宋体" w:hAnsi="宋体" w:eastAsia="宋体" w:cs="宋体"/>
          <w:b/>
          <w:bCs/>
          <w:color w:val="auto"/>
          <w:sz w:val="32"/>
          <w:szCs w:val="32"/>
          <w:highlight w:val="none"/>
        </w:rPr>
      </w:pPr>
    </w:p>
    <w:p w14:paraId="28C9CE27">
      <w:pPr>
        <w:spacing w:line="360" w:lineRule="auto"/>
        <w:jc w:val="center"/>
        <w:rPr>
          <w:rFonts w:hint="eastAsia" w:ascii="宋体" w:hAnsi="宋体" w:eastAsia="宋体" w:cs="宋体"/>
          <w:b/>
          <w:bCs/>
          <w:color w:val="auto"/>
          <w:sz w:val="32"/>
          <w:szCs w:val="32"/>
          <w:highlight w:val="none"/>
        </w:rPr>
      </w:pPr>
    </w:p>
    <w:p w14:paraId="315F1D01">
      <w:pPr>
        <w:spacing w:line="360" w:lineRule="auto"/>
        <w:jc w:val="center"/>
        <w:outlineLvl w:val="9"/>
        <w:rPr>
          <w:rFonts w:hint="eastAsia" w:ascii="宋体" w:hAnsi="宋体" w:cs="宋体"/>
          <w:b/>
          <w:bCs/>
          <w:color w:val="auto"/>
          <w:sz w:val="32"/>
          <w:szCs w:val="32"/>
          <w:highlight w:val="none"/>
          <w:lang w:eastAsia="zh-CN"/>
        </w:rPr>
      </w:pPr>
    </w:p>
    <w:p w14:paraId="21833AD5">
      <w:pPr>
        <w:spacing w:line="360" w:lineRule="auto"/>
        <w:jc w:val="center"/>
        <w:outlineLvl w:val="0"/>
        <w:rPr>
          <w:rFonts w:hint="eastAsia" w:ascii="宋体" w:hAnsi="宋体" w:eastAsia="宋体" w:cs="宋体"/>
          <w:b/>
          <w:bCs/>
          <w:color w:val="auto"/>
          <w:sz w:val="32"/>
          <w:szCs w:val="32"/>
          <w:highlight w:val="none"/>
        </w:rPr>
      </w:pPr>
      <w:bookmarkStart w:id="1362" w:name="_Toc15031"/>
      <w:r>
        <w:rPr>
          <w:rFonts w:hint="eastAsia" w:ascii="宋体" w:hAnsi="宋体" w:cs="宋体"/>
          <w:b/>
          <w:bCs/>
          <w:color w:val="auto"/>
          <w:sz w:val="32"/>
          <w:szCs w:val="32"/>
          <w:highlight w:val="none"/>
          <w:lang w:eastAsia="zh-CN"/>
        </w:rPr>
        <w:t>（</w:t>
      </w:r>
      <w:r>
        <w:rPr>
          <w:rFonts w:hint="eastAsia" w:ascii="宋体" w:hAnsi="宋体" w:cs="宋体"/>
          <w:b/>
          <w:bCs/>
          <w:color w:val="auto"/>
          <w:sz w:val="32"/>
          <w:szCs w:val="32"/>
          <w:highlight w:val="none"/>
          <w:lang w:val="en-US" w:eastAsia="zh-CN"/>
        </w:rPr>
        <w:t>四</w:t>
      </w:r>
      <w:r>
        <w:rPr>
          <w:rFonts w:hint="eastAsia" w:ascii="宋体" w:hAnsi="宋体" w:cs="宋体"/>
          <w:b/>
          <w:bCs/>
          <w:color w:val="auto"/>
          <w:sz w:val="32"/>
          <w:szCs w:val="32"/>
          <w:highlight w:val="none"/>
          <w:lang w:eastAsia="zh-CN"/>
        </w:rPr>
        <w:t>）</w:t>
      </w:r>
      <w:r>
        <w:rPr>
          <w:rFonts w:hint="eastAsia" w:ascii="宋体" w:hAnsi="宋体" w:eastAsia="宋体" w:cs="宋体"/>
          <w:b/>
          <w:bCs/>
          <w:color w:val="auto"/>
          <w:sz w:val="32"/>
          <w:szCs w:val="32"/>
          <w:highlight w:val="none"/>
        </w:rPr>
        <w:t>监狱企业证明文件</w:t>
      </w:r>
      <w:bookmarkEnd w:id="1362"/>
    </w:p>
    <w:p w14:paraId="04B0CEB2">
      <w:pPr>
        <w:jc w:val="center"/>
        <w:rPr>
          <w:rFonts w:hint="eastAsia" w:ascii="宋体" w:hAnsi="宋体" w:eastAsia="宋体" w:cs="宋体"/>
          <w:b/>
          <w:bCs/>
          <w:iCs/>
          <w:color w:val="auto"/>
          <w:sz w:val="24"/>
          <w:szCs w:val="24"/>
          <w:highlight w:val="none"/>
        </w:rPr>
      </w:pPr>
      <w:r>
        <w:rPr>
          <w:rFonts w:hint="eastAsia" w:ascii="宋体" w:hAnsi="宋体" w:eastAsia="宋体" w:cs="宋体"/>
          <w:b/>
          <w:bCs/>
          <w:iCs/>
          <w:color w:val="auto"/>
          <w:sz w:val="24"/>
          <w:szCs w:val="24"/>
          <w:highlight w:val="none"/>
        </w:rPr>
        <w:t>（属于监狱企业的提供，不属于的无需提供此项内容）</w:t>
      </w:r>
    </w:p>
    <w:p w14:paraId="66FF8BF0">
      <w:pPr>
        <w:spacing w:line="360" w:lineRule="auto"/>
        <w:rPr>
          <w:rFonts w:hint="eastAsia" w:ascii="宋体" w:hAnsi="宋体" w:eastAsia="宋体" w:cs="宋体"/>
          <w:b/>
          <w:bCs/>
          <w:color w:val="auto"/>
          <w:sz w:val="32"/>
          <w:szCs w:val="32"/>
          <w:highlight w:val="none"/>
        </w:rPr>
      </w:pPr>
    </w:p>
    <w:p w14:paraId="462552ED">
      <w:pPr>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（监狱企业参加政府采购活动时，应当提供由省级以上监狱管理局、戒毒管理局(含新疆生产建设兵团)出具的属于监狱企业的证明文件。</w:t>
      </w:r>
    </w:p>
    <w:p w14:paraId="7439ACB9">
      <w:pPr>
        <w:spacing w:line="360" w:lineRule="auto"/>
        <w:ind w:firstLine="720" w:firstLineChars="300"/>
        <w:jc w:val="left"/>
        <w:rPr>
          <w:rFonts w:hint="eastAsia" w:ascii="宋体" w:hAnsi="宋体" w:eastAsia="宋体" w:cs="宋体"/>
          <w:bCs/>
          <w:color w:val="auto"/>
          <w:sz w:val="24"/>
          <w:szCs w:val="24"/>
          <w:highlight w:val="none"/>
        </w:rPr>
      </w:pPr>
    </w:p>
    <w:p w14:paraId="1B08CECC">
      <w:pPr>
        <w:spacing w:line="360" w:lineRule="auto"/>
        <w:ind w:firstLine="720" w:firstLineChars="3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注：在磋商响应文件中附扫描件。</w:t>
      </w:r>
    </w:p>
    <w:p w14:paraId="78BDAF0C">
      <w:pPr>
        <w:adjustRightInd w:val="0"/>
        <w:spacing w:line="165" w:lineRule="atLeast"/>
        <w:jc w:val="center"/>
        <w:outlineLvl w:val="9"/>
        <w:rPr>
          <w:rFonts w:hint="eastAsia" w:ascii="宋体" w:hAnsi="宋体" w:cs="宋体"/>
          <w:bCs/>
          <w:color w:val="auto"/>
          <w:sz w:val="24"/>
          <w:highlight w:val="none"/>
        </w:rPr>
      </w:pPr>
    </w:p>
    <w:p w14:paraId="3BD21A73">
      <w:pPr>
        <w:spacing w:line="360" w:lineRule="auto"/>
        <w:jc w:val="center"/>
        <w:outlineLvl w:val="9"/>
        <w:rPr>
          <w:rFonts w:hint="eastAsia" w:ascii="宋体" w:hAnsi="宋体" w:eastAsia="宋体" w:cs="宋体"/>
          <w:b/>
          <w:bCs/>
          <w:color w:val="auto"/>
          <w:sz w:val="32"/>
          <w:szCs w:val="32"/>
          <w:highlight w:val="none"/>
          <w:lang w:eastAsia="zh-CN"/>
        </w:rPr>
      </w:pPr>
    </w:p>
    <w:p w14:paraId="024AB4F7">
      <w:pPr>
        <w:spacing w:line="360" w:lineRule="auto"/>
        <w:jc w:val="center"/>
        <w:outlineLvl w:val="9"/>
        <w:rPr>
          <w:rFonts w:hint="eastAsia" w:ascii="宋体" w:hAnsi="宋体" w:cs="宋体"/>
          <w:b/>
          <w:sz w:val="32"/>
          <w:szCs w:val="32"/>
          <w:highlight w:val="none"/>
          <w:lang w:eastAsia="zh-CN"/>
        </w:rPr>
      </w:pPr>
    </w:p>
    <w:p w14:paraId="04899963">
      <w:pPr>
        <w:spacing w:line="360" w:lineRule="auto"/>
        <w:jc w:val="center"/>
        <w:outlineLvl w:val="9"/>
        <w:rPr>
          <w:rFonts w:hint="eastAsia" w:ascii="宋体" w:hAnsi="宋体" w:cs="宋体"/>
          <w:b/>
          <w:sz w:val="32"/>
          <w:szCs w:val="32"/>
          <w:highlight w:val="none"/>
          <w:lang w:eastAsia="zh-CN"/>
        </w:rPr>
      </w:pPr>
    </w:p>
    <w:p w14:paraId="01807C90">
      <w:pPr>
        <w:spacing w:line="360" w:lineRule="auto"/>
        <w:jc w:val="center"/>
        <w:outlineLvl w:val="9"/>
        <w:rPr>
          <w:rFonts w:hint="eastAsia" w:ascii="宋体" w:hAnsi="宋体" w:cs="宋体"/>
          <w:b/>
          <w:sz w:val="32"/>
          <w:szCs w:val="32"/>
          <w:highlight w:val="none"/>
          <w:lang w:eastAsia="zh-CN"/>
        </w:rPr>
      </w:pPr>
    </w:p>
    <w:p w14:paraId="550398BF">
      <w:pPr>
        <w:spacing w:line="360" w:lineRule="auto"/>
        <w:jc w:val="center"/>
        <w:outlineLvl w:val="9"/>
        <w:rPr>
          <w:rFonts w:hint="eastAsia" w:ascii="宋体" w:hAnsi="宋体" w:cs="宋体"/>
          <w:b/>
          <w:sz w:val="32"/>
          <w:szCs w:val="32"/>
          <w:highlight w:val="none"/>
          <w:lang w:eastAsia="zh-CN"/>
        </w:rPr>
      </w:pPr>
    </w:p>
    <w:p w14:paraId="40E4EE0E">
      <w:pPr>
        <w:spacing w:line="360" w:lineRule="auto"/>
        <w:jc w:val="center"/>
        <w:outlineLvl w:val="9"/>
        <w:rPr>
          <w:rFonts w:hint="eastAsia" w:ascii="宋体" w:hAnsi="宋体" w:cs="宋体"/>
          <w:b/>
          <w:sz w:val="32"/>
          <w:szCs w:val="32"/>
          <w:highlight w:val="none"/>
          <w:lang w:eastAsia="zh-CN"/>
        </w:rPr>
      </w:pPr>
    </w:p>
    <w:p w14:paraId="42BCA8D1">
      <w:pPr>
        <w:spacing w:line="360" w:lineRule="auto"/>
        <w:jc w:val="center"/>
        <w:outlineLvl w:val="9"/>
        <w:rPr>
          <w:rFonts w:hint="eastAsia" w:ascii="宋体" w:hAnsi="宋体" w:cs="宋体"/>
          <w:b/>
          <w:sz w:val="32"/>
          <w:szCs w:val="32"/>
          <w:highlight w:val="none"/>
          <w:lang w:eastAsia="zh-CN"/>
        </w:rPr>
      </w:pPr>
    </w:p>
    <w:p w14:paraId="6FC74BCC">
      <w:pPr>
        <w:spacing w:line="360" w:lineRule="auto"/>
        <w:jc w:val="center"/>
        <w:outlineLvl w:val="9"/>
        <w:rPr>
          <w:rFonts w:hint="eastAsia" w:ascii="宋体" w:hAnsi="宋体" w:cs="宋体"/>
          <w:b/>
          <w:sz w:val="32"/>
          <w:szCs w:val="32"/>
          <w:highlight w:val="none"/>
          <w:lang w:eastAsia="zh-CN"/>
        </w:rPr>
      </w:pPr>
    </w:p>
    <w:p w14:paraId="0FE15C6B">
      <w:pPr>
        <w:spacing w:line="360" w:lineRule="auto"/>
        <w:jc w:val="center"/>
        <w:outlineLvl w:val="9"/>
        <w:rPr>
          <w:rFonts w:hint="eastAsia" w:ascii="宋体" w:hAnsi="宋体" w:cs="宋体"/>
          <w:b/>
          <w:sz w:val="32"/>
          <w:szCs w:val="32"/>
          <w:highlight w:val="none"/>
          <w:lang w:eastAsia="zh-CN"/>
        </w:rPr>
      </w:pPr>
    </w:p>
    <w:p w14:paraId="66E4B4C9">
      <w:pPr>
        <w:spacing w:line="360" w:lineRule="auto"/>
        <w:jc w:val="center"/>
        <w:outlineLvl w:val="9"/>
        <w:rPr>
          <w:rFonts w:hint="eastAsia" w:ascii="宋体" w:hAnsi="宋体" w:cs="宋体"/>
          <w:b/>
          <w:sz w:val="32"/>
          <w:szCs w:val="32"/>
          <w:highlight w:val="none"/>
          <w:lang w:eastAsia="zh-CN"/>
        </w:rPr>
      </w:pPr>
    </w:p>
    <w:p w14:paraId="46188D15">
      <w:pPr>
        <w:spacing w:line="360" w:lineRule="auto"/>
        <w:jc w:val="center"/>
        <w:outlineLvl w:val="9"/>
        <w:rPr>
          <w:rFonts w:hint="eastAsia" w:ascii="宋体" w:hAnsi="宋体" w:cs="宋体"/>
          <w:b/>
          <w:sz w:val="32"/>
          <w:szCs w:val="32"/>
          <w:highlight w:val="none"/>
          <w:lang w:eastAsia="zh-CN"/>
        </w:rPr>
      </w:pPr>
    </w:p>
    <w:p w14:paraId="5CE38FC3">
      <w:pPr>
        <w:spacing w:line="360" w:lineRule="auto"/>
        <w:jc w:val="center"/>
        <w:outlineLvl w:val="9"/>
        <w:rPr>
          <w:rFonts w:hint="eastAsia" w:ascii="宋体" w:hAnsi="宋体" w:cs="宋体"/>
          <w:b/>
          <w:sz w:val="32"/>
          <w:szCs w:val="32"/>
          <w:highlight w:val="none"/>
          <w:lang w:eastAsia="zh-CN"/>
        </w:rPr>
      </w:pPr>
    </w:p>
    <w:p w14:paraId="0FFED916">
      <w:pPr>
        <w:spacing w:line="360" w:lineRule="auto"/>
        <w:jc w:val="center"/>
        <w:outlineLvl w:val="9"/>
        <w:rPr>
          <w:rFonts w:hint="eastAsia" w:ascii="宋体" w:hAnsi="宋体" w:cs="宋体"/>
          <w:b/>
          <w:sz w:val="32"/>
          <w:szCs w:val="32"/>
          <w:highlight w:val="none"/>
          <w:lang w:eastAsia="zh-CN"/>
        </w:rPr>
      </w:pPr>
    </w:p>
    <w:p w14:paraId="32A7F973">
      <w:pPr>
        <w:spacing w:line="360" w:lineRule="auto"/>
        <w:jc w:val="center"/>
        <w:outlineLvl w:val="9"/>
        <w:rPr>
          <w:rFonts w:hint="eastAsia" w:ascii="宋体" w:hAnsi="宋体" w:cs="宋体"/>
          <w:b/>
          <w:sz w:val="32"/>
          <w:szCs w:val="32"/>
          <w:highlight w:val="none"/>
          <w:lang w:eastAsia="zh-CN"/>
        </w:rPr>
      </w:pPr>
    </w:p>
    <w:p w14:paraId="015C4312">
      <w:pPr>
        <w:spacing w:line="360" w:lineRule="auto"/>
        <w:jc w:val="center"/>
        <w:outlineLvl w:val="9"/>
        <w:rPr>
          <w:rFonts w:hint="eastAsia" w:ascii="宋体" w:hAnsi="宋体" w:cs="宋体"/>
          <w:b/>
          <w:sz w:val="32"/>
          <w:szCs w:val="32"/>
          <w:highlight w:val="none"/>
          <w:lang w:eastAsia="zh-CN"/>
        </w:rPr>
      </w:pPr>
    </w:p>
    <w:p w14:paraId="20ACF28F">
      <w:pPr>
        <w:spacing w:line="360" w:lineRule="auto"/>
        <w:jc w:val="center"/>
        <w:outlineLvl w:val="9"/>
        <w:rPr>
          <w:rFonts w:hint="eastAsia" w:ascii="宋体" w:hAnsi="宋体" w:cs="宋体"/>
          <w:b/>
          <w:sz w:val="32"/>
          <w:szCs w:val="32"/>
          <w:highlight w:val="none"/>
          <w:lang w:eastAsia="zh-CN"/>
        </w:rPr>
      </w:pPr>
    </w:p>
    <w:p w14:paraId="41D2BE26">
      <w:pPr>
        <w:pageBreakBefore w:val="0"/>
        <w:kinsoku/>
        <w:overflowPunct/>
        <w:topLinePunct w:val="0"/>
        <w:bidi w:val="0"/>
        <w:adjustRightInd w:val="0"/>
        <w:spacing w:line="165" w:lineRule="atLeast"/>
        <w:jc w:val="center"/>
        <w:outlineLvl w:val="9"/>
        <w:rPr>
          <w:rFonts w:hint="eastAsia" w:ascii="宋体" w:hAnsi="宋体" w:eastAsia="宋体" w:cs="宋体"/>
          <w:b/>
          <w:bCs w:val="0"/>
          <w:color w:val="auto"/>
          <w:sz w:val="24"/>
          <w:szCs w:val="28"/>
          <w:highlight w:val="none"/>
          <w:lang w:val="en-US" w:eastAsia="zh-CN"/>
        </w:rPr>
      </w:pPr>
      <w:r>
        <w:rPr>
          <w:rFonts w:hint="eastAsia" w:ascii="宋体" w:hAnsi="宋体" w:cs="宋体"/>
          <w:b/>
          <w:bCs w:val="0"/>
          <w:sz w:val="32"/>
          <w:szCs w:val="28"/>
          <w:highlight w:val="none"/>
          <w:lang w:val="en-US" w:eastAsia="zh-CN"/>
        </w:rPr>
        <w:t>（五）</w:t>
      </w:r>
      <w:r>
        <w:rPr>
          <w:rFonts w:hint="eastAsia" w:ascii="宋体" w:hAnsi="宋体" w:cs="宋体"/>
          <w:b/>
          <w:bCs w:val="0"/>
          <w:sz w:val="32"/>
          <w:szCs w:val="28"/>
          <w:highlight w:val="none"/>
        </w:rPr>
        <w:t>供应商认为有利于磋商的其他资料，格式自拟</w:t>
      </w:r>
    </w:p>
    <w:sectPr>
      <w:headerReference r:id="rId7" w:type="default"/>
      <w:footerReference r:id="rId8" w:type="default"/>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Sans Serif">
    <w:altName w:val="Segoe Print"/>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E10A4">
    <w:pPr>
      <w:pStyle w:val="1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36345">
    <w:pPr>
      <w:pStyle w:val="15"/>
      <w:tabs>
        <w:tab w:val="center" w:pos="4536"/>
        <w:tab w:val="clear" w:pos="4153"/>
        <w:tab w:val="clear" w:pos="8306"/>
      </w:tabs>
      <w:rPr>
        <w:rFonts w:ascii="宋体" w:hAnsi="宋体"/>
        <w:sz w:val="19"/>
        <w:szCs w:val="19"/>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5FD6D">
    <w:pPr>
      <w:pStyle w:val="15"/>
      <w:jc w:val="both"/>
      <w:rPr>
        <w:rFonts w:eastAsia="仿宋_GB2312"/>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78BEE5">
                          <w:pPr>
                            <w:pStyle w:val="1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678BEE5">
                    <w:pPr>
                      <w:pStyle w:val="1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3E6B2">
    <w:pPr>
      <w:jc w:val="both"/>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12E60B">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912E60B">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24CEA">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433250">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D433250">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6D9E2">
    <w:pPr>
      <w:pStyle w:val="16"/>
      <w:pBdr>
        <w:bottom w:val="none" w:color="auto" w:sz="0" w:space="1"/>
      </w:pBdr>
      <w:jc w:val="left"/>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58B729"/>
    <w:multiLevelType w:val="singleLevel"/>
    <w:tmpl w:val="A758B729"/>
    <w:lvl w:ilvl="0" w:tentative="0">
      <w:start w:val="1"/>
      <w:numFmt w:val="decimal"/>
      <w:suff w:val="space"/>
      <w:lvlText w:val="（%1）"/>
      <w:lvlJc w:val="left"/>
    </w:lvl>
  </w:abstractNum>
  <w:abstractNum w:abstractNumId="1">
    <w:nsid w:val="E7FCA628"/>
    <w:multiLevelType w:val="singleLevel"/>
    <w:tmpl w:val="E7FCA628"/>
    <w:lvl w:ilvl="0" w:tentative="0">
      <w:start w:val="3"/>
      <w:numFmt w:val="chineseCounting"/>
      <w:suff w:val="nothing"/>
      <w:lvlText w:val="%1、"/>
      <w:lvlJc w:val="left"/>
      <w:rPr>
        <w:rFonts w:hint="eastAsia"/>
      </w:rPr>
    </w:lvl>
  </w:abstractNum>
  <w:abstractNum w:abstractNumId="2">
    <w:nsid w:val="06F52432"/>
    <w:multiLevelType w:val="singleLevel"/>
    <w:tmpl w:val="06F52432"/>
    <w:lvl w:ilvl="0" w:tentative="0">
      <w:start w:val="5"/>
      <w:numFmt w:val="decimal"/>
      <w:suff w:val="nothing"/>
      <w:lvlText w:val="%1、"/>
      <w:lvlJc w:val="left"/>
    </w:lvl>
  </w:abstractNum>
  <w:abstractNum w:abstractNumId="3">
    <w:nsid w:val="41555567"/>
    <w:multiLevelType w:val="singleLevel"/>
    <w:tmpl w:val="41555567"/>
    <w:lvl w:ilvl="0" w:tentative="0">
      <w:start w:val="8"/>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WLdacgBJ5qcCE7Sl+PhZREPGlz0=" w:salt="bqy2l28bYlD6pYZTgau56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3Y2EyY2E1NGU3NTZkOWRlY2NiZTE0YWZiNGIwMGIifQ=="/>
  </w:docVars>
  <w:rsids>
    <w:rsidRoot w:val="4136347C"/>
    <w:rsid w:val="000969AD"/>
    <w:rsid w:val="003A0914"/>
    <w:rsid w:val="00496DA9"/>
    <w:rsid w:val="00733E26"/>
    <w:rsid w:val="007C717F"/>
    <w:rsid w:val="007F0A1D"/>
    <w:rsid w:val="00C85F20"/>
    <w:rsid w:val="00CC502D"/>
    <w:rsid w:val="00D16ACA"/>
    <w:rsid w:val="00DC5E6F"/>
    <w:rsid w:val="00E84814"/>
    <w:rsid w:val="00EB07B1"/>
    <w:rsid w:val="011E3D92"/>
    <w:rsid w:val="01233A9E"/>
    <w:rsid w:val="01311D17"/>
    <w:rsid w:val="0131553C"/>
    <w:rsid w:val="01670762"/>
    <w:rsid w:val="016739AE"/>
    <w:rsid w:val="01865DC0"/>
    <w:rsid w:val="018E7FF3"/>
    <w:rsid w:val="01A51249"/>
    <w:rsid w:val="01A63B13"/>
    <w:rsid w:val="01C02C81"/>
    <w:rsid w:val="01D81097"/>
    <w:rsid w:val="01DB40A0"/>
    <w:rsid w:val="01EE02DF"/>
    <w:rsid w:val="02042C54"/>
    <w:rsid w:val="02052599"/>
    <w:rsid w:val="021A6C4F"/>
    <w:rsid w:val="021C5A78"/>
    <w:rsid w:val="025854DE"/>
    <w:rsid w:val="02866093"/>
    <w:rsid w:val="02A816E8"/>
    <w:rsid w:val="02B138CA"/>
    <w:rsid w:val="02C95F7F"/>
    <w:rsid w:val="02CD1F13"/>
    <w:rsid w:val="0323246D"/>
    <w:rsid w:val="0335324A"/>
    <w:rsid w:val="034026E5"/>
    <w:rsid w:val="03404493"/>
    <w:rsid w:val="03492190"/>
    <w:rsid w:val="035A523A"/>
    <w:rsid w:val="03634A02"/>
    <w:rsid w:val="038C76D9"/>
    <w:rsid w:val="03B10EED"/>
    <w:rsid w:val="03BB6210"/>
    <w:rsid w:val="03C3332E"/>
    <w:rsid w:val="03C36E72"/>
    <w:rsid w:val="03C57F38"/>
    <w:rsid w:val="03CA6453"/>
    <w:rsid w:val="03DA750A"/>
    <w:rsid w:val="03DD6027"/>
    <w:rsid w:val="0401421B"/>
    <w:rsid w:val="04156537"/>
    <w:rsid w:val="04161698"/>
    <w:rsid w:val="04180F6C"/>
    <w:rsid w:val="04451A44"/>
    <w:rsid w:val="04461C11"/>
    <w:rsid w:val="04463D2B"/>
    <w:rsid w:val="04637F4D"/>
    <w:rsid w:val="04680523"/>
    <w:rsid w:val="047D2ACD"/>
    <w:rsid w:val="048D195A"/>
    <w:rsid w:val="04963FC8"/>
    <w:rsid w:val="04C74740"/>
    <w:rsid w:val="04DA4474"/>
    <w:rsid w:val="04E2157A"/>
    <w:rsid w:val="04E452F2"/>
    <w:rsid w:val="04E7083C"/>
    <w:rsid w:val="04EB48D3"/>
    <w:rsid w:val="04F574FF"/>
    <w:rsid w:val="04FE006D"/>
    <w:rsid w:val="053A3164"/>
    <w:rsid w:val="05452235"/>
    <w:rsid w:val="055406CA"/>
    <w:rsid w:val="055A55B4"/>
    <w:rsid w:val="056664AF"/>
    <w:rsid w:val="056A1C9B"/>
    <w:rsid w:val="056D274C"/>
    <w:rsid w:val="057354FE"/>
    <w:rsid w:val="057B7A05"/>
    <w:rsid w:val="058368B9"/>
    <w:rsid w:val="05860158"/>
    <w:rsid w:val="058D598A"/>
    <w:rsid w:val="05924D4E"/>
    <w:rsid w:val="05CA273A"/>
    <w:rsid w:val="05D1471C"/>
    <w:rsid w:val="05DD06BF"/>
    <w:rsid w:val="05E31290"/>
    <w:rsid w:val="05F96B7B"/>
    <w:rsid w:val="05FB28F4"/>
    <w:rsid w:val="06047149"/>
    <w:rsid w:val="060A6FDB"/>
    <w:rsid w:val="0619721E"/>
    <w:rsid w:val="062D0413"/>
    <w:rsid w:val="062E2CC9"/>
    <w:rsid w:val="064918BF"/>
    <w:rsid w:val="066C559F"/>
    <w:rsid w:val="067C6D42"/>
    <w:rsid w:val="06B060B8"/>
    <w:rsid w:val="06BF4168"/>
    <w:rsid w:val="06CB62A4"/>
    <w:rsid w:val="06D249BA"/>
    <w:rsid w:val="06D575E9"/>
    <w:rsid w:val="06FA60CF"/>
    <w:rsid w:val="071C5217"/>
    <w:rsid w:val="07487EF1"/>
    <w:rsid w:val="075C3866"/>
    <w:rsid w:val="076878CF"/>
    <w:rsid w:val="07707311"/>
    <w:rsid w:val="078D3A39"/>
    <w:rsid w:val="07B23486"/>
    <w:rsid w:val="07C75183"/>
    <w:rsid w:val="07CD4764"/>
    <w:rsid w:val="07D94EB6"/>
    <w:rsid w:val="07DB29DD"/>
    <w:rsid w:val="07DD46FE"/>
    <w:rsid w:val="07E31891"/>
    <w:rsid w:val="07E6312F"/>
    <w:rsid w:val="07F7533D"/>
    <w:rsid w:val="07FE491D"/>
    <w:rsid w:val="08024CF0"/>
    <w:rsid w:val="080A32C2"/>
    <w:rsid w:val="08145EEF"/>
    <w:rsid w:val="084E7652"/>
    <w:rsid w:val="08844E22"/>
    <w:rsid w:val="08A94889"/>
    <w:rsid w:val="08BB280E"/>
    <w:rsid w:val="08BC0A60"/>
    <w:rsid w:val="08C16272"/>
    <w:rsid w:val="08C96CD9"/>
    <w:rsid w:val="09055686"/>
    <w:rsid w:val="09414AC1"/>
    <w:rsid w:val="096D1D5A"/>
    <w:rsid w:val="098701D3"/>
    <w:rsid w:val="0992531D"/>
    <w:rsid w:val="09A45050"/>
    <w:rsid w:val="09C509E0"/>
    <w:rsid w:val="09CA2D09"/>
    <w:rsid w:val="09D05E45"/>
    <w:rsid w:val="09F05101"/>
    <w:rsid w:val="09F064E7"/>
    <w:rsid w:val="09F50D0B"/>
    <w:rsid w:val="0A175853"/>
    <w:rsid w:val="0A36039E"/>
    <w:rsid w:val="0A3665F0"/>
    <w:rsid w:val="0A4B23D1"/>
    <w:rsid w:val="0A686923"/>
    <w:rsid w:val="0A6E16B4"/>
    <w:rsid w:val="0A8D5261"/>
    <w:rsid w:val="0AC260D6"/>
    <w:rsid w:val="0B057D70"/>
    <w:rsid w:val="0B161F7E"/>
    <w:rsid w:val="0B1F7084"/>
    <w:rsid w:val="0B324E50"/>
    <w:rsid w:val="0B350656"/>
    <w:rsid w:val="0B3F59DA"/>
    <w:rsid w:val="0B4765DB"/>
    <w:rsid w:val="0B4A5DA1"/>
    <w:rsid w:val="0B61144B"/>
    <w:rsid w:val="0B9C6927"/>
    <w:rsid w:val="0BA94BA0"/>
    <w:rsid w:val="0BB52413"/>
    <w:rsid w:val="0BB579E9"/>
    <w:rsid w:val="0BB93035"/>
    <w:rsid w:val="0BD30569"/>
    <w:rsid w:val="0BEF1802"/>
    <w:rsid w:val="0BF26547"/>
    <w:rsid w:val="0BF9505A"/>
    <w:rsid w:val="0C000FFD"/>
    <w:rsid w:val="0C086845"/>
    <w:rsid w:val="0C0A7D34"/>
    <w:rsid w:val="0C14470F"/>
    <w:rsid w:val="0C1C35C4"/>
    <w:rsid w:val="0C1D705A"/>
    <w:rsid w:val="0C1F2F8D"/>
    <w:rsid w:val="0C1F7E55"/>
    <w:rsid w:val="0C2506CA"/>
    <w:rsid w:val="0C440C31"/>
    <w:rsid w:val="0C515AE4"/>
    <w:rsid w:val="0C5E598A"/>
    <w:rsid w:val="0C6A2581"/>
    <w:rsid w:val="0C790A16"/>
    <w:rsid w:val="0C9870EE"/>
    <w:rsid w:val="0C9F6E57"/>
    <w:rsid w:val="0CC2416B"/>
    <w:rsid w:val="0CC4458E"/>
    <w:rsid w:val="0CC73075"/>
    <w:rsid w:val="0CDD0B3C"/>
    <w:rsid w:val="0CF27B29"/>
    <w:rsid w:val="0D1818C0"/>
    <w:rsid w:val="0D270E19"/>
    <w:rsid w:val="0D3450F7"/>
    <w:rsid w:val="0D461432"/>
    <w:rsid w:val="0D611BD6"/>
    <w:rsid w:val="0D660F9A"/>
    <w:rsid w:val="0D6C40D7"/>
    <w:rsid w:val="0D6E60A1"/>
    <w:rsid w:val="0D7002CE"/>
    <w:rsid w:val="0D714D5E"/>
    <w:rsid w:val="0D797D51"/>
    <w:rsid w:val="0D7C07BE"/>
    <w:rsid w:val="0D7F2AAC"/>
    <w:rsid w:val="0D814649"/>
    <w:rsid w:val="0D8E6743"/>
    <w:rsid w:val="0DC36FD9"/>
    <w:rsid w:val="0DC42165"/>
    <w:rsid w:val="0DDF0650"/>
    <w:rsid w:val="0DE8420A"/>
    <w:rsid w:val="0DFF286C"/>
    <w:rsid w:val="0E012A71"/>
    <w:rsid w:val="0E1814FB"/>
    <w:rsid w:val="0E230C39"/>
    <w:rsid w:val="0E3B2427"/>
    <w:rsid w:val="0E3E5A73"/>
    <w:rsid w:val="0E462B7A"/>
    <w:rsid w:val="0E4F5ED2"/>
    <w:rsid w:val="0E626E5B"/>
    <w:rsid w:val="0E710F62"/>
    <w:rsid w:val="0E8F62CF"/>
    <w:rsid w:val="0E911939"/>
    <w:rsid w:val="0E912047"/>
    <w:rsid w:val="0E9733D5"/>
    <w:rsid w:val="0E9B2EC6"/>
    <w:rsid w:val="0ED11E3A"/>
    <w:rsid w:val="0EE43F5B"/>
    <w:rsid w:val="0EE55047"/>
    <w:rsid w:val="0EE91E83"/>
    <w:rsid w:val="0F072309"/>
    <w:rsid w:val="0F0F72EA"/>
    <w:rsid w:val="0F136F00"/>
    <w:rsid w:val="0F1F1CC9"/>
    <w:rsid w:val="0F3B0205"/>
    <w:rsid w:val="0F6C4862"/>
    <w:rsid w:val="0F735BF1"/>
    <w:rsid w:val="0F784EFC"/>
    <w:rsid w:val="0F845699"/>
    <w:rsid w:val="0F933B9D"/>
    <w:rsid w:val="0F9C2225"/>
    <w:rsid w:val="0FA638D0"/>
    <w:rsid w:val="0FBA737B"/>
    <w:rsid w:val="0FEB5787"/>
    <w:rsid w:val="0FF4755A"/>
    <w:rsid w:val="0FFA1E6E"/>
    <w:rsid w:val="0FFD54BA"/>
    <w:rsid w:val="100B0A50"/>
    <w:rsid w:val="101160B4"/>
    <w:rsid w:val="10180EB4"/>
    <w:rsid w:val="1025513D"/>
    <w:rsid w:val="102869DB"/>
    <w:rsid w:val="102A2753"/>
    <w:rsid w:val="102D7DC0"/>
    <w:rsid w:val="104139E0"/>
    <w:rsid w:val="105A46BB"/>
    <w:rsid w:val="109C4CD3"/>
    <w:rsid w:val="10A122E9"/>
    <w:rsid w:val="10A57E07"/>
    <w:rsid w:val="10B65D95"/>
    <w:rsid w:val="10E04EA0"/>
    <w:rsid w:val="10FC5772"/>
    <w:rsid w:val="11042EA2"/>
    <w:rsid w:val="1109077D"/>
    <w:rsid w:val="11194576"/>
    <w:rsid w:val="111E5275"/>
    <w:rsid w:val="11252143"/>
    <w:rsid w:val="112E0021"/>
    <w:rsid w:val="113B0990"/>
    <w:rsid w:val="113D0264"/>
    <w:rsid w:val="114C494B"/>
    <w:rsid w:val="115A0E16"/>
    <w:rsid w:val="116105DF"/>
    <w:rsid w:val="11671785"/>
    <w:rsid w:val="117277D4"/>
    <w:rsid w:val="11CE5360"/>
    <w:rsid w:val="11D16BFE"/>
    <w:rsid w:val="11D80670"/>
    <w:rsid w:val="11EB7D03"/>
    <w:rsid w:val="11F32D4D"/>
    <w:rsid w:val="11F644AD"/>
    <w:rsid w:val="12162ABF"/>
    <w:rsid w:val="121C60CC"/>
    <w:rsid w:val="12261BA6"/>
    <w:rsid w:val="12282CC2"/>
    <w:rsid w:val="122D02D9"/>
    <w:rsid w:val="12325BED"/>
    <w:rsid w:val="12344371"/>
    <w:rsid w:val="123B0AF9"/>
    <w:rsid w:val="123D63F3"/>
    <w:rsid w:val="12492C39"/>
    <w:rsid w:val="126C4A85"/>
    <w:rsid w:val="126D6927"/>
    <w:rsid w:val="127C10A6"/>
    <w:rsid w:val="12933817"/>
    <w:rsid w:val="12E33098"/>
    <w:rsid w:val="12FE1C75"/>
    <w:rsid w:val="130C41B6"/>
    <w:rsid w:val="1325076E"/>
    <w:rsid w:val="13250FB0"/>
    <w:rsid w:val="132966A1"/>
    <w:rsid w:val="13426006"/>
    <w:rsid w:val="13451652"/>
    <w:rsid w:val="1360023A"/>
    <w:rsid w:val="13763F01"/>
    <w:rsid w:val="13814968"/>
    <w:rsid w:val="13865961"/>
    <w:rsid w:val="138959E3"/>
    <w:rsid w:val="138B1719"/>
    <w:rsid w:val="13966DBD"/>
    <w:rsid w:val="13A9579D"/>
    <w:rsid w:val="13B567D8"/>
    <w:rsid w:val="13C42C8F"/>
    <w:rsid w:val="13C42ECE"/>
    <w:rsid w:val="13C46A1B"/>
    <w:rsid w:val="14096B23"/>
    <w:rsid w:val="141A663B"/>
    <w:rsid w:val="141A7667"/>
    <w:rsid w:val="14211C3F"/>
    <w:rsid w:val="14263231"/>
    <w:rsid w:val="142B7C6A"/>
    <w:rsid w:val="144663EA"/>
    <w:rsid w:val="14993452"/>
    <w:rsid w:val="14A44A93"/>
    <w:rsid w:val="14C424F8"/>
    <w:rsid w:val="14D54EB3"/>
    <w:rsid w:val="14DB571C"/>
    <w:rsid w:val="14E659BE"/>
    <w:rsid w:val="14E86739"/>
    <w:rsid w:val="14EA4B98"/>
    <w:rsid w:val="14FB46BE"/>
    <w:rsid w:val="15237771"/>
    <w:rsid w:val="153B0F5F"/>
    <w:rsid w:val="15451DDD"/>
    <w:rsid w:val="156B2323"/>
    <w:rsid w:val="1578472F"/>
    <w:rsid w:val="157E0E4B"/>
    <w:rsid w:val="15877D00"/>
    <w:rsid w:val="15A308B2"/>
    <w:rsid w:val="15B30AF5"/>
    <w:rsid w:val="15DC6F2C"/>
    <w:rsid w:val="15F15D2D"/>
    <w:rsid w:val="16140D77"/>
    <w:rsid w:val="164518BB"/>
    <w:rsid w:val="16502966"/>
    <w:rsid w:val="1666025D"/>
    <w:rsid w:val="167A1613"/>
    <w:rsid w:val="16B56AEF"/>
    <w:rsid w:val="16C62AAA"/>
    <w:rsid w:val="16D36F75"/>
    <w:rsid w:val="170A0BE8"/>
    <w:rsid w:val="171657DF"/>
    <w:rsid w:val="172A3039"/>
    <w:rsid w:val="174A5489"/>
    <w:rsid w:val="17591B70"/>
    <w:rsid w:val="176221FA"/>
    <w:rsid w:val="1767428D"/>
    <w:rsid w:val="17766A5D"/>
    <w:rsid w:val="177D585E"/>
    <w:rsid w:val="178070FD"/>
    <w:rsid w:val="178D1819"/>
    <w:rsid w:val="17AA4179"/>
    <w:rsid w:val="17AE3C6A"/>
    <w:rsid w:val="17C47B21"/>
    <w:rsid w:val="17D007DC"/>
    <w:rsid w:val="17D8582B"/>
    <w:rsid w:val="180F196B"/>
    <w:rsid w:val="18137F71"/>
    <w:rsid w:val="18441ED8"/>
    <w:rsid w:val="184B003F"/>
    <w:rsid w:val="18702CCD"/>
    <w:rsid w:val="187D363C"/>
    <w:rsid w:val="189F35B2"/>
    <w:rsid w:val="18A577BC"/>
    <w:rsid w:val="18B54B84"/>
    <w:rsid w:val="18BB6E52"/>
    <w:rsid w:val="18BC5F12"/>
    <w:rsid w:val="18CE4A5B"/>
    <w:rsid w:val="18CE5C46"/>
    <w:rsid w:val="18EE0096"/>
    <w:rsid w:val="18EF6F9C"/>
    <w:rsid w:val="18F120CA"/>
    <w:rsid w:val="190F698A"/>
    <w:rsid w:val="191044B0"/>
    <w:rsid w:val="1910746C"/>
    <w:rsid w:val="191B532F"/>
    <w:rsid w:val="19502AFF"/>
    <w:rsid w:val="19520625"/>
    <w:rsid w:val="195F2D42"/>
    <w:rsid w:val="19976414"/>
    <w:rsid w:val="19B60574"/>
    <w:rsid w:val="19BD2B30"/>
    <w:rsid w:val="19CF1C75"/>
    <w:rsid w:val="19D61256"/>
    <w:rsid w:val="19DB05BE"/>
    <w:rsid w:val="19F72376"/>
    <w:rsid w:val="1A0521CA"/>
    <w:rsid w:val="1A2024D1"/>
    <w:rsid w:val="1A2E2E40"/>
    <w:rsid w:val="1A312930"/>
    <w:rsid w:val="1A3430C1"/>
    <w:rsid w:val="1A5358A1"/>
    <w:rsid w:val="1A6E148E"/>
    <w:rsid w:val="1AA41354"/>
    <w:rsid w:val="1AAE5DE5"/>
    <w:rsid w:val="1AAE6CE1"/>
    <w:rsid w:val="1AC57B9A"/>
    <w:rsid w:val="1AC94917"/>
    <w:rsid w:val="1AD977F3"/>
    <w:rsid w:val="1ADC289C"/>
    <w:rsid w:val="1AE26B12"/>
    <w:rsid w:val="1AE6371B"/>
    <w:rsid w:val="1AE9320B"/>
    <w:rsid w:val="1AEE2276"/>
    <w:rsid w:val="1AFF0F93"/>
    <w:rsid w:val="1B0E2C71"/>
    <w:rsid w:val="1B0F349B"/>
    <w:rsid w:val="1B27187D"/>
    <w:rsid w:val="1B3C333B"/>
    <w:rsid w:val="1B4504E9"/>
    <w:rsid w:val="1B700C4D"/>
    <w:rsid w:val="1B750E0A"/>
    <w:rsid w:val="1B781C36"/>
    <w:rsid w:val="1BD4364C"/>
    <w:rsid w:val="1BD6553D"/>
    <w:rsid w:val="1BF83465"/>
    <w:rsid w:val="1BFE0D54"/>
    <w:rsid w:val="1C055E22"/>
    <w:rsid w:val="1C420E24"/>
    <w:rsid w:val="1C444376"/>
    <w:rsid w:val="1C454471"/>
    <w:rsid w:val="1C556DAA"/>
    <w:rsid w:val="1C6F14EE"/>
    <w:rsid w:val="1CA05B4B"/>
    <w:rsid w:val="1CA44A0F"/>
    <w:rsid w:val="1CA45C48"/>
    <w:rsid w:val="1CB11B06"/>
    <w:rsid w:val="1CB378CC"/>
    <w:rsid w:val="1CB44478"/>
    <w:rsid w:val="1CB93072"/>
    <w:rsid w:val="1CBF4223"/>
    <w:rsid w:val="1CF46CD9"/>
    <w:rsid w:val="1CF87735"/>
    <w:rsid w:val="1CFD5232"/>
    <w:rsid w:val="1D1F4CC2"/>
    <w:rsid w:val="1D736E7A"/>
    <w:rsid w:val="1D81772B"/>
    <w:rsid w:val="1D8767EF"/>
    <w:rsid w:val="1D885B1E"/>
    <w:rsid w:val="1D936104"/>
    <w:rsid w:val="1DBC0763"/>
    <w:rsid w:val="1DCD471E"/>
    <w:rsid w:val="1DFE521F"/>
    <w:rsid w:val="1E0F2F88"/>
    <w:rsid w:val="1E222CBC"/>
    <w:rsid w:val="1E387FD4"/>
    <w:rsid w:val="1E525DA6"/>
    <w:rsid w:val="1E85149C"/>
    <w:rsid w:val="1EC329D0"/>
    <w:rsid w:val="1ECC6AB2"/>
    <w:rsid w:val="1EE00481"/>
    <w:rsid w:val="1EE147FF"/>
    <w:rsid w:val="1EE937D9"/>
    <w:rsid w:val="1F2B2044"/>
    <w:rsid w:val="1F3031B6"/>
    <w:rsid w:val="1F450CF7"/>
    <w:rsid w:val="1F464788"/>
    <w:rsid w:val="1F4E1A42"/>
    <w:rsid w:val="1F6707C5"/>
    <w:rsid w:val="1F7C464D"/>
    <w:rsid w:val="1F7E1D31"/>
    <w:rsid w:val="1F8A299F"/>
    <w:rsid w:val="1F8B3432"/>
    <w:rsid w:val="1F8D23B7"/>
    <w:rsid w:val="1FA92F69"/>
    <w:rsid w:val="1FB65DB1"/>
    <w:rsid w:val="1FD20711"/>
    <w:rsid w:val="1FD96669"/>
    <w:rsid w:val="1FE47C95"/>
    <w:rsid w:val="1FE813F2"/>
    <w:rsid w:val="1FE87F35"/>
    <w:rsid w:val="200603BB"/>
    <w:rsid w:val="200A3F4C"/>
    <w:rsid w:val="200E0542"/>
    <w:rsid w:val="20142AD8"/>
    <w:rsid w:val="20176124"/>
    <w:rsid w:val="203F591A"/>
    <w:rsid w:val="204C132C"/>
    <w:rsid w:val="20575F7F"/>
    <w:rsid w:val="205B0707"/>
    <w:rsid w:val="205B4263"/>
    <w:rsid w:val="20617999"/>
    <w:rsid w:val="206B315A"/>
    <w:rsid w:val="206F41B2"/>
    <w:rsid w:val="207277FE"/>
    <w:rsid w:val="20745325"/>
    <w:rsid w:val="208F215E"/>
    <w:rsid w:val="20B205DC"/>
    <w:rsid w:val="20C0056A"/>
    <w:rsid w:val="20EC5803"/>
    <w:rsid w:val="20FF72E4"/>
    <w:rsid w:val="21156B08"/>
    <w:rsid w:val="21226502"/>
    <w:rsid w:val="21243CEE"/>
    <w:rsid w:val="215A1231"/>
    <w:rsid w:val="21823A71"/>
    <w:rsid w:val="21BD7F8A"/>
    <w:rsid w:val="21D13950"/>
    <w:rsid w:val="21D73DBD"/>
    <w:rsid w:val="21E64B60"/>
    <w:rsid w:val="21EB5ABA"/>
    <w:rsid w:val="220F3557"/>
    <w:rsid w:val="221E379A"/>
    <w:rsid w:val="222B2DE4"/>
    <w:rsid w:val="222F1E4B"/>
    <w:rsid w:val="222F59A7"/>
    <w:rsid w:val="225E44DE"/>
    <w:rsid w:val="22673240"/>
    <w:rsid w:val="22680EB9"/>
    <w:rsid w:val="22877591"/>
    <w:rsid w:val="229E48DB"/>
    <w:rsid w:val="22A068A5"/>
    <w:rsid w:val="22A16179"/>
    <w:rsid w:val="22AC6FF8"/>
    <w:rsid w:val="22B27316"/>
    <w:rsid w:val="22CB53D1"/>
    <w:rsid w:val="22D30A28"/>
    <w:rsid w:val="22E13791"/>
    <w:rsid w:val="22F32E79"/>
    <w:rsid w:val="231234DD"/>
    <w:rsid w:val="23172C08"/>
    <w:rsid w:val="23205778"/>
    <w:rsid w:val="232E4694"/>
    <w:rsid w:val="23605838"/>
    <w:rsid w:val="237044C9"/>
    <w:rsid w:val="23875A3A"/>
    <w:rsid w:val="2392443F"/>
    <w:rsid w:val="23931F66"/>
    <w:rsid w:val="23AE4FF1"/>
    <w:rsid w:val="23B4085A"/>
    <w:rsid w:val="23C13C0E"/>
    <w:rsid w:val="23C6058D"/>
    <w:rsid w:val="23CE11F0"/>
    <w:rsid w:val="23D06D16"/>
    <w:rsid w:val="23D762F6"/>
    <w:rsid w:val="23E26A49"/>
    <w:rsid w:val="23E34C9B"/>
    <w:rsid w:val="23EC2DB3"/>
    <w:rsid w:val="23F24EDE"/>
    <w:rsid w:val="24066BDB"/>
    <w:rsid w:val="24217571"/>
    <w:rsid w:val="243454F7"/>
    <w:rsid w:val="245636BF"/>
    <w:rsid w:val="24601ADC"/>
    <w:rsid w:val="247B4ED4"/>
    <w:rsid w:val="24801A42"/>
    <w:rsid w:val="2481005B"/>
    <w:rsid w:val="248F4E23"/>
    <w:rsid w:val="24975A86"/>
    <w:rsid w:val="249E5066"/>
    <w:rsid w:val="24B94DA7"/>
    <w:rsid w:val="24F15196"/>
    <w:rsid w:val="24FB6014"/>
    <w:rsid w:val="250A448D"/>
    <w:rsid w:val="251470D6"/>
    <w:rsid w:val="251E530A"/>
    <w:rsid w:val="252F7A05"/>
    <w:rsid w:val="254134B8"/>
    <w:rsid w:val="25445C0D"/>
    <w:rsid w:val="255045B2"/>
    <w:rsid w:val="25A4045A"/>
    <w:rsid w:val="25A6613C"/>
    <w:rsid w:val="25AC730F"/>
    <w:rsid w:val="25AE26A8"/>
    <w:rsid w:val="25B508B9"/>
    <w:rsid w:val="25CD79B1"/>
    <w:rsid w:val="25E00134"/>
    <w:rsid w:val="25E7229D"/>
    <w:rsid w:val="25FA13A1"/>
    <w:rsid w:val="260B670E"/>
    <w:rsid w:val="260E3B25"/>
    <w:rsid w:val="26177D1E"/>
    <w:rsid w:val="261E49C3"/>
    <w:rsid w:val="26211AAB"/>
    <w:rsid w:val="26235823"/>
    <w:rsid w:val="262F5E44"/>
    <w:rsid w:val="26467763"/>
    <w:rsid w:val="26477832"/>
    <w:rsid w:val="26492DAF"/>
    <w:rsid w:val="2657598F"/>
    <w:rsid w:val="26661BB3"/>
    <w:rsid w:val="266B0F78"/>
    <w:rsid w:val="268A3AF4"/>
    <w:rsid w:val="26A06E73"/>
    <w:rsid w:val="26AD25D3"/>
    <w:rsid w:val="26C802EA"/>
    <w:rsid w:val="26CA0394"/>
    <w:rsid w:val="26E31456"/>
    <w:rsid w:val="26F954CE"/>
    <w:rsid w:val="27165388"/>
    <w:rsid w:val="272730F1"/>
    <w:rsid w:val="2729330D"/>
    <w:rsid w:val="2765151D"/>
    <w:rsid w:val="27A91D58"/>
    <w:rsid w:val="27AA5AD0"/>
    <w:rsid w:val="27C375BA"/>
    <w:rsid w:val="27C46B92"/>
    <w:rsid w:val="27C64D2E"/>
    <w:rsid w:val="27E72880"/>
    <w:rsid w:val="27F274D5"/>
    <w:rsid w:val="27FE61A9"/>
    <w:rsid w:val="281270DF"/>
    <w:rsid w:val="28167ADE"/>
    <w:rsid w:val="282633A8"/>
    <w:rsid w:val="284307F6"/>
    <w:rsid w:val="28560CD9"/>
    <w:rsid w:val="285C501C"/>
    <w:rsid w:val="28620159"/>
    <w:rsid w:val="28687E65"/>
    <w:rsid w:val="28697739"/>
    <w:rsid w:val="2878203F"/>
    <w:rsid w:val="28924EE2"/>
    <w:rsid w:val="2895052E"/>
    <w:rsid w:val="2899001E"/>
    <w:rsid w:val="28A80261"/>
    <w:rsid w:val="28D92B11"/>
    <w:rsid w:val="28F96D0F"/>
    <w:rsid w:val="28FB0838"/>
    <w:rsid w:val="28FB65E3"/>
    <w:rsid w:val="2907142C"/>
    <w:rsid w:val="29233D8C"/>
    <w:rsid w:val="29244AEE"/>
    <w:rsid w:val="29385A89"/>
    <w:rsid w:val="29494DB0"/>
    <w:rsid w:val="294B5203"/>
    <w:rsid w:val="2972287B"/>
    <w:rsid w:val="298A5BB9"/>
    <w:rsid w:val="29D532D8"/>
    <w:rsid w:val="29D55086"/>
    <w:rsid w:val="29F9326C"/>
    <w:rsid w:val="29F96555"/>
    <w:rsid w:val="2A007C29"/>
    <w:rsid w:val="2A110088"/>
    <w:rsid w:val="2A2D1028"/>
    <w:rsid w:val="2A314286"/>
    <w:rsid w:val="2A3C3357"/>
    <w:rsid w:val="2A3F017D"/>
    <w:rsid w:val="2A84085A"/>
    <w:rsid w:val="2A8E3487"/>
    <w:rsid w:val="2A9151EF"/>
    <w:rsid w:val="2AB23619"/>
    <w:rsid w:val="2AB54EB7"/>
    <w:rsid w:val="2ABA0FF7"/>
    <w:rsid w:val="2AC05D36"/>
    <w:rsid w:val="2AEF2177"/>
    <w:rsid w:val="2B065713"/>
    <w:rsid w:val="2B41674B"/>
    <w:rsid w:val="2B426034"/>
    <w:rsid w:val="2B493661"/>
    <w:rsid w:val="2B4F70BA"/>
    <w:rsid w:val="2B512E32"/>
    <w:rsid w:val="2B522706"/>
    <w:rsid w:val="2B6951FE"/>
    <w:rsid w:val="2B6C37C8"/>
    <w:rsid w:val="2B793AD0"/>
    <w:rsid w:val="2B8515C8"/>
    <w:rsid w:val="2B892B96"/>
    <w:rsid w:val="2B936FA7"/>
    <w:rsid w:val="2B957EFB"/>
    <w:rsid w:val="2BAB0692"/>
    <w:rsid w:val="2BAB6CDC"/>
    <w:rsid w:val="2BB807BB"/>
    <w:rsid w:val="2BD1187D"/>
    <w:rsid w:val="2BF043F9"/>
    <w:rsid w:val="2BF10171"/>
    <w:rsid w:val="2C0E033F"/>
    <w:rsid w:val="2C104AB8"/>
    <w:rsid w:val="2C372028"/>
    <w:rsid w:val="2C38567E"/>
    <w:rsid w:val="2C4E2ECE"/>
    <w:rsid w:val="2C5129BE"/>
    <w:rsid w:val="2C521663"/>
    <w:rsid w:val="2C620559"/>
    <w:rsid w:val="2C6206E0"/>
    <w:rsid w:val="2CAD5E46"/>
    <w:rsid w:val="2CDB245A"/>
    <w:rsid w:val="2CED26E7"/>
    <w:rsid w:val="2CF9108B"/>
    <w:rsid w:val="2D177764"/>
    <w:rsid w:val="2D1E6D44"/>
    <w:rsid w:val="2D3C366E"/>
    <w:rsid w:val="2D5269EE"/>
    <w:rsid w:val="2D742E08"/>
    <w:rsid w:val="2D920179"/>
    <w:rsid w:val="2DBD030B"/>
    <w:rsid w:val="2DD65871"/>
    <w:rsid w:val="2DE41D3C"/>
    <w:rsid w:val="2E041285"/>
    <w:rsid w:val="2E085E8E"/>
    <w:rsid w:val="2E1524D6"/>
    <w:rsid w:val="2E25055D"/>
    <w:rsid w:val="2E2C1CBB"/>
    <w:rsid w:val="2E2E1209"/>
    <w:rsid w:val="2E4F4144"/>
    <w:rsid w:val="2E5073D1"/>
    <w:rsid w:val="2E513149"/>
    <w:rsid w:val="2E5A62E0"/>
    <w:rsid w:val="2E666BF4"/>
    <w:rsid w:val="2E775838"/>
    <w:rsid w:val="2E7D7A9A"/>
    <w:rsid w:val="2E817994"/>
    <w:rsid w:val="2E954DE4"/>
    <w:rsid w:val="2E9A0EF4"/>
    <w:rsid w:val="2EA15E7F"/>
    <w:rsid w:val="2EA27501"/>
    <w:rsid w:val="2EB55115"/>
    <w:rsid w:val="2EE7237C"/>
    <w:rsid w:val="2EFD27F8"/>
    <w:rsid w:val="2F0A055B"/>
    <w:rsid w:val="2F613E4F"/>
    <w:rsid w:val="2F650C5A"/>
    <w:rsid w:val="2F654DB1"/>
    <w:rsid w:val="2F880DEC"/>
    <w:rsid w:val="2FA8323D"/>
    <w:rsid w:val="2FC02334"/>
    <w:rsid w:val="2FF00760"/>
    <w:rsid w:val="2FF975F4"/>
    <w:rsid w:val="30275F10"/>
    <w:rsid w:val="30281C88"/>
    <w:rsid w:val="304A369B"/>
    <w:rsid w:val="304E5071"/>
    <w:rsid w:val="30502425"/>
    <w:rsid w:val="306233EC"/>
    <w:rsid w:val="306E37FA"/>
    <w:rsid w:val="307C74C4"/>
    <w:rsid w:val="30B005FB"/>
    <w:rsid w:val="30C47C02"/>
    <w:rsid w:val="30C72FFF"/>
    <w:rsid w:val="30CE6CD3"/>
    <w:rsid w:val="30F06C49"/>
    <w:rsid w:val="30FF50DE"/>
    <w:rsid w:val="311C17EC"/>
    <w:rsid w:val="312A7750"/>
    <w:rsid w:val="31466869"/>
    <w:rsid w:val="314F3856"/>
    <w:rsid w:val="314F5AA3"/>
    <w:rsid w:val="31570403"/>
    <w:rsid w:val="31644F41"/>
    <w:rsid w:val="316513E5"/>
    <w:rsid w:val="318F1FBE"/>
    <w:rsid w:val="31921AAF"/>
    <w:rsid w:val="31934AAF"/>
    <w:rsid w:val="31975317"/>
    <w:rsid w:val="31BC4D7D"/>
    <w:rsid w:val="31BF7492"/>
    <w:rsid w:val="31C3435E"/>
    <w:rsid w:val="31C51E84"/>
    <w:rsid w:val="31EA5447"/>
    <w:rsid w:val="31F108E6"/>
    <w:rsid w:val="32086704"/>
    <w:rsid w:val="32135AF2"/>
    <w:rsid w:val="322A7F39"/>
    <w:rsid w:val="323F1C36"/>
    <w:rsid w:val="325A3FEF"/>
    <w:rsid w:val="3260395B"/>
    <w:rsid w:val="32607DFF"/>
    <w:rsid w:val="327D275F"/>
    <w:rsid w:val="327F0547"/>
    <w:rsid w:val="329451A2"/>
    <w:rsid w:val="32B20479"/>
    <w:rsid w:val="32C43EEA"/>
    <w:rsid w:val="32C52380"/>
    <w:rsid w:val="33122EA7"/>
    <w:rsid w:val="3344502A"/>
    <w:rsid w:val="33460DA3"/>
    <w:rsid w:val="33501C21"/>
    <w:rsid w:val="335E1684"/>
    <w:rsid w:val="33615BDC"/>
    <w:rsid w:val="336C2488"/>
    <w:rsid w:val="33721B98"/>
    <w:rsid w:val="337A6C9E"/>
    <w:rsid w:val="337C47C4"/>
    <w:rsid w:val="33A31EB8"/>
    <w:rsid w:val="33AA7583"/>
    <w:rsid w:val="33B73A4E"/>
    <w:rsid w:val="33BC1065"/>
    <w:rsid w:val="33C70135"/>
    <w:rsid w:val="33E5680D"/>
    <w:rsid w:val="3412009D"/>
    <w:rsid w:val="342B06AB"/>
    <w:rsid w:val="342D5ABF"/>
    <w:rsid w:val="34341965"/>
    <w:rsid w:val="34457907"/>
    <w:rsid w:val="344B7676"/>
    <w:rsid w:val="344D6161"/>
    <w:rsid w:val="347A4FEB"/>
    <w:rsid w:val="34851646"/>
    <w:rsid w:val="34943D90"/>
    <w:rsid w:val="349D460B"/>
    <w:rsid w:val="34A2025B"/>
    <w:rsid w:val="34A264AC"/>
    <w:rsid w:val="34C603ED"/>
    <w:rsid w:val="34D66156"/>
    <w:rsid w:val="34F449B2"/>
    <w:rsid w:val="34FF745B"/>
    <w:rsid w:val="350E3B42"/>
    <w:rsid w:val="352C3FC8"/>
    <w:rsid w:val="35352A32"/>
    <w:rsid w:val="356E45E1"/>
    <w:rsid w:val="35A84976"/>
    <w:rsid w:val="35B574C2"/>
    <w:rsid w:val="35D2691D"/>
    <w:rsid w:val="35FB20EE"/>
    <w:rsid w:val="35FC4F08"/>
    <w:rsid w:val="35FE224D"/>
    <w:rsid w:val="360F1920"/>
    <w:rsid w:val="361E62DB"/>
    <w:rsid w:val="364F4412"/>
    <w:rsid w:val="367F4CF7"/>
    <w:rsid w:val="369571B1"/>
    <w:rsid w:val="369D3722"/>
    <w:rsid w:val="36A52284"/>
    <w:rsid w:val="36BE6EA2"/>
    <w:rsid w:val="36C33946"/>
    <w:rsid w:val="36CA4B46"/>
    <w:rsid w:val="36CF7301"/>
    <w:rsid w:val="36DA1D21"/>
    <w:rsid w:val="36F823B4"/>
    <w:rsid w:val="370C5E5F"/>
    <w:rsid w:val="37215DAE"/>
    <w:rsid w:val="37337890"/>
    <w:rsid w:val="373D070E"/>
    <w:rsid w:val="373F4487"/>
    <w:rsid w:val="375A306E"/>
    <w:rsid w:val="376161AB"/>
    <w:rsid w:val="376712E7"/>
    <w:rsid w:val="37716B20"/>
    <w:rsid w:val="378D51F2"/>
    <w:rsid w:val="37BE7752"/>
    <w:rsid w:val="37C8622A"/>
    <w:rsid w:val="37CC5E16"/>
    <w:rsid w:val="37DF3574"/>
    <w:rsid w:val="37E17132"/>
    <w:rsid w:val="37EF5EA7"/>
    <w:rsid w:val="37F60FE9"/>
    <w:rsid w:val="3801798E"/>
    <w:rsid w:val="38146983"/>
    <w:rsid w:val="38177A19"/>
    <w:rsid w:val="381B5E1E"/>
    <w:rsid w:val="381D3CD9"/>
    <w:rsid w:val="3849173C"/>
    <w:rsid w:val="384B5F8D"/>
    <w:rsid w:val="38726196"/>
    <w:rsid w:val="388D4D7E"/>
    <w:rsid w:val="38926838"/>
    <w:rsid w:val="38AD71CE"/>
    <w:rsid w:val="38B22A36"/>
    <w:rsid w:val="38B7135B"/>
    <w:rsid w:val="38BC16B2"/>
    <w:rsid w:val="38C20ECB"/>
    <w:rsid w:val="38C8225A"/>
    <w:rsid w:val="39136A76"/>
    <w:rsid w:val="395A07DD"/>
    <w:rsid w:val="395C1CA2"/>
    <w:rsid w:val="396B71E3"/>
    <w:rsid w:val="397F0D58"/>
    <w:rsid w:val="39842625"/>
    <w:rsid w:val="39916AF0"/>
    <w:rsid w:val="3995038E"/>
    <w:rsid w:val="399C796E"/>
    <w:rsid w:val="39A56EA8"/>
    <w:rsid w:val="39CB3DB0"/>
    <w:rsid w:val="39E17229"/>
    <w:rsid w:val="39EE5CF0"/>
    <w:rsid w:val="39FA4695"/>
    <w:rsid w:val="3A0331E6"/>
    <w:rsid w:val="3A085004"/>
    <w:rsid w:val="3A0D33B4"/>
    <w:rsid w:val="3A361B71"/>
    <w:rsid w:val="3A3D7D18"/>
    <w:rsid w:val="3A606BEE"/>
    <w:rsid w:val="3A685AA2"/>
    <w:rsid w:val="3A797CAF"/>
    <w:rsid w:val="3A84453E"/>
    <w:rsid w:val="3AA12D62"/>
    <w:rsid w:val="3AA34D2C"/>
    <w:rsid w:val="3ACE7EDE"/>
    <w:rsid w:val="3ACE7FFB"/>
    <w:rsid w:val="3AE67304"/>
    <w:rsid w:val="3AEC0481"/>
    <w:rsid w:val="3AEF23F1"/>
    <w:rsid w:val="3B026D8D"/>
    <w:rsid w:val="3B0F1810"/>
    <w:rsid w:val="3B2F036E"/>
    <w:rsid w:val="3B2F65C0"/>
    <w:rsid w:val="3B4243FB"/>
    <w:rsid w:val="3B5F6EA5"/>
    <w:rsid w:val="3B697D24"/>
    <w:rsid w:val="3B742225"/>
    <w:rsid w:val="3B7F12F6"/>
    <w:rsid w:val="3B93483B"/>
    <w:rsid w:val="3B9B747B"/>
    <w:rsid w:val="3BA925ED"/>
    <w:rsid w:val="3BB05953"/>
    <w:rsid w:val="3BBB7E54"/>
    <w:rsid w:val="3BDA637D"/>
    <w:rsid w:val="3BEE1FD7"/>
    <w:rsid w:val="3BF25A84"/>
    <w:rsid w:val="3C0D06AF"/>
    <w:rsid w:val="3C8041E7"/>
    <w:rsid w:val="3C834E15"/>
    <w:rsid w:val="3CAC0361"/>
    <w:rsid w:val="3CF57010"/>
    <w:rsid w:val="3CF903E4"/>
    <w:rsid w:val="3D0F65AE"/>
    <w:rsid w:val="3D1024D4"/>
    <w:rsid w:val="3D2E4D81"/>
    <w:rsid w:val="3D314D64"/>
    <w:rsid w:val="3D31781C"/>
    <w:rsid w:val="3D510A70"/>
    <w:rsid w:val="3D6A645A"/>
    <w:rsid w:val="3D6C74FD"/>
    <w:rsid w:val="3D826E7B"/>
    <w:rsid w:val="3D954E00"/>
    <w:rsid w:val="3D962926"/>
    <w:rsid w:val="3D9F7A2D"/>
    <w:rsid w:val="3DA46C38"/>
    <w:rsid w:val="3DBD6105"/>
    <w:rsid w:val="3DBF3C2B"/>
    <w:rsid w:val="3DE74F30"/>
    <w:rsid w:val="3DF26464"/>
    <w:rsid w:val="3DF64C38"/>
    <w:rsid w:val="3E01608A"/>
    <w:rsid w:val="3E043D34"/>
    <w:rsid w:val="3E32264F"/>
    <w:rsid w:val="3E734A16"/>
    <w:rsid w:val="3E7E7642"/>
    <w:rsid w:val="3E8E68C7"/>
    <w:rsid w:val="3EB5502E"/>
    <w:rsid w:val="3EC509BB"/>
    <w:rsid w:val="3ED01E68"/>
    <w:rsid w:val="3EE55913"/>
    <w:rsid w:val="3EF20030"/>
    <w:rsid w:val="3F0006E1"/>
    <w:rsid w:val="3F0B58D1"/>
    <w:rsid w:val="3F306D25"/>
    <w:rsid w:val="3F36616F"/>
    <w:rsid w:val="3F47212A"/>
    <w:rsid w:val="3F5B5BD6"/>
    <w:rsid w:val="3F66277E"/>
    <w:rsid w:val="3F711925"/>
    <w:rsid w:val="3F7153F9"/>
    <w:rsid w:val="3F87147D"/>
    <w:rsid w:val="3FA0183A"/>
    <w:rsid w:val="3FA171C1"/>
    <w:rsid w:val="3FA27F1B"/>
    <w:rsid w:val="3FA86BA7"/>
    <w:rsid w:val="3FAA6E5F"/>
    <w:rsid w:val="3FD55F03"/>
    <w:rsid w:val="3FDA64CF"/>
    <w:rsid w:val="3FDD65EB"/>
    <w:rsid w:val="3FF102E8"/>
    <w:rsid w:val="4000052B"/>
    <w:rsid w:val="4044666A"/>
    <w:rsid w:val="404623E2"/>
    <w:rsid w:val="40580367"/>
    <w:rsid w:val="405D772B"/>
    <w:rsid w:val="405F16F6"/>
    <w:rsid w:val="406E7B8B"/>
    <w:rsid w:val="40742B5E"/>
    <w:rsid w:val="407C5E04"/>
    <w:rsid w:val="40832E41"/>
    <w:rsid w:val="40B03CFF"/>
    <w:rsid w:val="40B437EF"/>
    <w:rsid w:val="40E63BC5"/>
    <w:rsid w:val="41006A35"/>
    <w:rsid w:val="412D5350"/>
    <w:rsid w:val="412F10C8"/>
    <w:rsid w:val="41325F04"/>
    <w:rsid w:val="4136347C"/>
    <w:rsid w:val="415A6073"/>
    <w:rsid w:val="41790595"/>
    <w:rsid w:val="418F1B67"/>
    <w:rsid w:val="419453CF"/>
    <w:rsid w:val="41A5138A"/>
    <w:rsid w:val="41F145CF"/>
    <w:rsid w:val="41F52311"/>
    <w:rsid w:val="41F8767C"/>
    <w:rsid w:val="42204E7F"/>
    <w:rsid w:val="4244269A"/>
    <w:rsid w:val="425A2175"/>
    <w:rsid w:val="425B50B1"/>
    <w:rsid w:val="4262727B"/>
    <w:rsid w:val="42664FBD"/>
    <w:rsid w:val="427F1BDB"/>
    <w:rsid w:val="429643C6"/>
    <w:rsid w:val="429A316A"/>
    <w:rsid w:val="42A45AE6"/>
    <w:rsid w:val="42AC52BE"/>
    <w:rsid w:val="42B71375"/>
    <w:rsid w:val="42E44134"/>
    <w:rsid w:val="42E61C5A"/>
    <w:rsid w:val="42EA799C"/>
    <w:rsid w:val="430F2F5F"/>
    <w:rsid w:val="43430E5B"/>
    <w:rsid w:val="434B259D"/>
    <w:rsid w:val="435E7A64"/>
    <w:rsid w:val="4364740E"/>
    <w:rsid w:val="43805C0B"/>
    <w:rsid w:val="43895075"/>
    <w:rsid w:val="43AB3828"/>
    <w:rsid w:val="43BB6C43"/>
    <w:rsid w:val="43C27FD1"/>
    <w:rsid w:val="43C53F65"/>
    <w:rsid w:val="43C743BE"/>
    <w:rsid w:val="43CC70A2"/>
    <w:rsid w:val="43CF26EE"/>
    <w:rsid w:val="43D45D88"/>
    <w:rsid w:val="43E350B0"/>
    <w:rsid w:val="43EE2E9C"/>
    <w:rsid w:val="43F14D5A"/>
    <w:rsid w:val="43FE5215"/>
    <w:rsid w:val="44006D4C"/>
    <w:rsid w:val="44054362"/>
    <w:rsid w:val="4439400C"/>
    <w:rsid w:val="4443583D"/>
    <w:rsid w:val="445350CD"/>
    <w:rsid w:val="446B68BB"/>
    <w:rsid w:val="44734688"/>
    <w:rsid w:val="447A4D50"/>
    <w:rsid w:val="447D039C"/>
    <w:rsid w:val="449B2FBD"/>
    <w:rsid w:val="44AF07CD"/>
    <w:rsid w:val="44B6565C"/>
    <w:rsid w:val="44C76DB3"/>
    <w:rsid w:val="44C91833"/>
    <w:rsid w:val="44D02BC2"/>
    <w:rsid w:val="44E96EC9"/>
    <w:rsid w:val="44F20D8A"/>
    <w:rsid w:val="44FF5255"/>
    <w:rsid w:val="4500339E"/>
    <w:rsid w:val="452B4224"/>
    <w:rsid w:val="452E1696"/>
    <w:rsid w:val="453F613D"/>
    <w:rsid w:val="45440EBA"/>
    <w:rsid w:val="454F7A1F"/>
    <w:rsid w:val="455B692F"/>
    <w:rsid w:val="456F5F37"/>
    <w:rsid w:val="458B0897"/>
    <w:rsid w:val="45921C25"/>
    <w:rsid w:val="45AB60F0"/>
    <w:rsid w:val="45B912BB"/>
    <w:rsid w:val="45EF7078"/>
    <w:rsid w:val="45F91CA4"/>
    <w:rsid w:val="460556BB"/>
    <w:rsid w:val="463C59A4"/>
    <w:rsid w:val="463F3DBF"/>
    <w:rsid w:val="466614F1"/>
    <w:rsid w:val="467F03FC"/>
    <w:rsid w:val="4681696C"/>
    <w:rsid w:val="468A447E"/>
    <w:rsid w:val="4690085B"/>
    <w:rsid w:val="469A0614"/>
    <w:rsid w:val="469F20CF"/>
    <w:rsid w:val="46A936CA"/>
    <w:rsid w:val="46B04A59"/>
    <w:rsid w:val="46CE468F"/>
    <w:rsid w:val="46E725D1"/>
    <w:rsid w:val="471F573B"/>
    <w:rsid w:val="472D60AA"/>
    <w:rsid w:val="475E2707"/>
    <w:rsid w:val="47612546"/>
    <w:rsid w:val="47641C7C"/>
    <w:rsid w:val="477A6E15"/>
    <w:rsid w:val="478E3112"/>
    <w:rsid w:val="479A47CA"/>
    <w:rsid w:val="47A368E0"/>
    <w:rsid w:val="47B375B2"/>
    <w:rsid w:val="47B71E17"/>
    <w:rsid w:val="47D76015"/>
    <w:rsid w:val="47E11CD4"/>
    <w:rsid w:val="47F60B91"/>
    <w:rsid w:val="47F646ED"/>
    <w:rsid w:val="4816685E"/>
    <w:rsid w:val="483E7E42"/>
    <w:rsid w:val="4860600B"/>
    <w:rsid w:val="48711FC6"/>
    <w:rsid w:val="488363C3"/>
    <w:rsid w:val="4886474D"/>
    <w:rsid w:val="488C2ACF"/>
    <w:rsid w:val="48981C49"/>
    <w:rsid w:val="48D512D4"/>
    <w:rsid w:val="48EA3B26"/>
    <w:rsid w:val="48F84495"/>
    <w:rsid w:val="491017DF"/>
    <w:rsid w:val="491856DD"/>
    <w:rsid w:val="49204B5B"/>
    <w:rsid w:val="49294AFF"/>
    <w:rsid w:val="493D00FA"/>
    <w:rsid w:val="49431BB4"/>
    <w:rsid w:val="497C6E74"/>
    <w:rsid w:val="4982397A"/>
    <w:rsid w:val="499441BE"/>
    <w:rsid w:val="499856C8"/>
    <w:rsid w:val="499D7C4A"/>
    <w:rsid w:val="49AF0B18"/>
    <w:rsid w:val="49B503C3"/>
    <w:rsid w:val="49C37F7C"/>
    <w:rsid w:val="49D15412"/>
    <w:rsid w:val="49E14F29"/>
    <w:rsid w:val="49E36EF3"/>
    <w:rsid w:val="49E52C6C"/>
    <w:rsid w:val="49F37870"/>
    <w:rsid w:val="4A03561A"/>
    <w:rsid w:val="4A2644D3"/>
    <w:rsid w:val="4A31759F"/>
    <w:rsid w:val="4A3F40DE"/>
    <w:rsid w:val="4A5E657A"/>
    <w:rsid w:val="4A730123"/>
    <w:rsid w:val="4A745D9D"/>
    <w:rsid w:val="4A876C56"/>
    <w:rsid w:val="4A9B157C"/>
    <w:rsid w:val="4AB52765"/>
    <w:rsid w:val="4ABD24B3"/>
    <w:rsid w:val="4AE729B3"/>
    <w:rsid w:val="4AEE3477"/>
    <w:rsid w:val="4B125CE2"/>
    <w:rsid w:val="4B1E14E5"/>
    <w:rsid w:val="4B2C48CA"/>
    <w:rsid w:val="4B3519D1"/>
    <w:rsid w:val="4B38326F"/>
    <w:rsid w:val="4B3834BA"/>
    <w:rsid w:val="4B6416C5"/>
    <w:rsid w:val="4B735B63"/>
    <w:rsid w:val="4B7818BD"/>
    <w:rsid w:val="4B8B3770"/>
    <w:rsid w:val="4B8D35BB"/>
    <w:rsid w:val="4B9B74A1"/>
    <w:rsid w:val="4BA1067F"/>
    <w:rsid w:val="4BB747E7"/>
    <w:rsid w:val="4BBD0365"/>
    <w:rsid w:val="4BC77C4E"/>
    <w:rsid w:val="4BD411EA"/>
    <w:rsid w:val="4BDE0787"/>
    <w:rsid w:val="4C0851C2"/>
    <w:rsid w:val="4C1415E6"/>
    <w:rsid w:val="4C187083"/>
    <w:rsid w:val="4C1E2E53"/>
    <w:rsid w:val="4C2630C7"/>
    <w:rsid w:val="4C3C53FC"/>
    <w:rsid w:val="4C4A14AC"/>
    <w:rsid w:val="4C520360"/>
    <w:rsid w:val="4C52210E"/>
    <w:rsid w:val="4C5B719F"/>
    <w:rsid w:val="4C720E45"/>
    <w:rsid w:val="4C843F57"/>
    <w:rsid w:val="4C9D6AA1"/>
    <w:rsid w:val="4D185106"/>
    <w:rsid w:val="4D1F2FC9"/>
    <w:rsid w:val="4D3260CC"/>
    <w:rsid w:val="4D411328"/>
    <w:rsid w:val="4D471547"/>
    <w:rsid w:val="4D4B3B63"/>
    <w:rsid w:val="4D4E3853"/>
    <w:rsid w:val="4D550108"/>
    <w:rsid w:val="4D732CDE"/>
    <w:rsid w:val="4D7A191D"/>
    <w:rsid w:val="4D9E1AAF"/>
    <w:rsid w:val="4D9F3131"/>
    <w:rsid w:val="4DA70A48"/>
    <w:rsid w:val="4DB72B71"/>
    <w:rsid w:val="4DD30FFA"/>
    <w:rsid w:val="4DD92AE7"/>
    <w:rsid w:val="4DE82D2A"/>
    <w:rsid w:val="4DF30E2D"/>
    <w:rsid w:val="4DF47921"/>
    <w:rsid w:val="4E093ED9"/>
    <w:rsid w:val="4E104ACB"/>
    <w:rsid w:val="4E21448E"/>
    <w:rsid w:val="4E3C6BD2"/>
    <w:rsid w:val="4E481A1B"/>
    <w:rsid w:val="4E557C94"/>
    <w:rsid w:val="4E6A1991"/>
    <w:rsid w:val="4E7D2D43"/>
    <w:rsid w:val="4E8448F5"/>
    <w:rsid w:val="4E8974AF"/>
    <w:rsid w:val="4EAC1FAA"/>
    <w:rsid w:val="4EAC3D58"/>
    <w:rsid w:val="4EB250E6"/>
    <w:rsid w:val="4EB33021"/>
    <w:rsid w:val="4EBE3A8B"/>
    <w:rsid w:val="4EE22E28"/>
    <w:rsid w:val="4EE31744"/>
    <w:rsid w:val="4EE74D90"/>
    <w:rsid w:val="4EF06B93"/>
    <w:rsid w:val="4F42290E"/>
    <w:rsid w:val="4F55544A"/>
    <w:rsid w:val="4F585C8E"/>
    <w:rsid w:val="4F6A3873"/>
    <w:rsid w:val="4F7A5C04"/>
    <w:rsid w:val="4F84164D"/>
    <w:rsid w:val="4F86006F"/>
    <w:rsid w:val="4F8B1BBF"/>
    <w:rsid w:val="4F9F38BD"/>
    <w:rsid w:val="4FAA34AA"/>
    <w:rsid w:val="4FAF7981"/>
    <w:rsid w:val="4FB34E42"/>
    <w:rsid w:val="4FC41575"/>
    <w:rsid w:val="4FCF7261"/>
    <w:rsid w:val="4FFA4F97"/>
    <w:rsid w:val="4FFA5144"/>
    <w:rsid w:val="501D68DB"/>
    <w:rsid w:val="502E69EF"/>
    <w:rsid w:val="503009B9"/>
    <w:rsid w:val="50373AF5"/>
    <w:rsid w:val="503E6C32"/>
    <w:rsid w:val="503F0BFC"/>
    <w:rsid w:val="50487D45"/>
    <w:rsid w:val="504F0E3F"/>
    <w:rsid w:val="505E5DEC"/>
    <w:rsid w:val="507765E7"/>
    <w:rsid w:val="50811214"/>
    <w:rsid w:val="50AC0E9C"/>
    <w:rsid w:val="50AF6E33"/>
    <w:rsid w:val="50C07F8E"/>
    <w:rsid w:val="50CA6717"/>
    <w:rsid w:val="50D70E34"/>
    <w:rsid w:val="50DD59ED"/>
    <w:rsid w:val="50E5126D"/>
    <w:rsid w:val="51114346"/>
    <w:rsid w:val="51155927"/>
    <w:rsid w:val="511E6A63"/>
    <w:rsid w:val="513B5867"/>
    <w:rsid w:val="514C1822"/>
    <w:rsid w:val="516052CE"/>
    <w:rsid w:val="51646B6C"/>
    <w:rsid w:val="51752B27"/>
    <w:rsid w:val="51776642"/>
    <w:rsid w:val="51962A9D"/>
    <w:rsid w:val="51B03B5F"/>
    <w:rsid w:val="51C441D2"/>
    <w:rsid w:val="51C70EC3"/>
    <w:rsid w:val="51DC75B0"/>
    <w:rsid w:val="51DF2696"/>
    <w:rsid w:val="51E11F6A"/>
    <w:rsid w:val="51ED6B61"/>
    <w:rsid w:val="51F05482"/>
    <w:rsid w:val="51F739E1"/>
    <w:rsid w:val="52067C23"/>
    <w:rsid w:val="5212481A"/>
    <w:rsid w:val="521536EF"/>
    <w:rsid w:val="521D4F6D"/>
    <w:rsid w:val="52232583"/>
    <w:rsid w:val="522956BF"/>
    <w:rsid w:val="52305E4E"/>
    <w:rsid w:val="523A6D37"/>
    <w:rsid w:val="52410C5B"/>
    <w:rsid w:val="52462715"/>
    <w:rsid w:val="526E4730"/>
    <w:rsid w:val="527F3531"/>
    <w:rsid w:val="528E0EFE"/>
    <w:rsid w:val="5290573F"/>
    <w:rsid w:val="529A65BD"/>
    <w:rsid w:val="529E7E5B"/>
    <w:rsid w:val="52A86362"/>
    <w:rsid w:val="52E066C6"/>
    <w:rsid w:val="530C3017"/>
    <w:rsid w:val="53281E1B"/>
    <w:rsid w:val="532A1208"/>
    <w:rsid w:val="53486019"/>
    <w:rsid w:val="534C5B09"/>
    <w:rsid w:val="535624E4"/>
    <w:rsid w:val="53731BB3"/>
    <w:rsid w:val="53742C6C"/>
    <w:rsid w:val="537F7C8D"/>
    <w:rsid w:val="53AC0356"/>
    <w:rsid w:val="53BB67EB"/>
    <w:rsid w:val="53C03E02"/>
    <w:rsid w:val="53E070D1"/>
    <w:rsid w:val="53F00B8B"/>
    <w:rsid w:val="53F87A3F"/>
    <w:rsid w:val="53FF7340"/>
    <w:rsid w:val="54040192"/>
    <w:rsid w:val="541D2076"/>
    <w:rsid w:val="5427219D"/>
    <w:rsid w:val="544B4013"/>
    <w:rsid w:val="54670F71"/>
    <w:rsid w:val="54710C8C"/>
    <w:rsid w:val="5479292E"/>
    <w:rsid w:val="54890E82"/>
    <w:rsid w:val="549239F0"/>
    <w:rsid w:val="5495528E"/>
    <w:rsid w:val="54971006"/>
    <w:rsid w:val="549A4653"/>
    <w:rsid w:val="54B27BEE"/>
    <w:rsid w:val="54BB2F47"/>
    <w:rsid w:val="54DA0EF3"/>
    <w:rsid w:val="55043076"/>
    <w:rsid w:val="55156C0D"/>
    <w:rsid w:val="553D1BAE"/>
    <w:rsid w:val="555313D1"/>
    <w:rsid w:val="55774994"/>
    <w:rsid w:val="55794BB0"/>
    <w:rsid w:val="557B0928"/>
    <w:rsid w:val="55806C84"/>
    <w:rsid w:val="55877FF2"/>
    <w:rsid w:val="559175E7"/>
    <w:rsid w:val="55983288"/>
    <w:rsid w:val="55B13259"/>
    <w:rsid w:val="55B33C1E"/>
    <w:rsid w:val="55D83684"/>
    <w:rsid w:val="56116B96"/>
    <w:rsid w:val="561276F4"/>
    <w:rsid w:val="565371AF"/>
    <w:rsid w:val="566847A1"/>
    <w:rsid w:val="56750B2B"/>
    <w:rsid w:val="56757125"/>
    <w:rsid w:val="567C04B4"/>
    <w:rsid w:val="5684380C"/>
    <w:rsid w:val="5689497F"/>
    <w:rsid w:val="56A17F1A"/>
    <w:rsid w:val="56A8574D"/>
    <w:rsid w:val="56A86A28"/>
    <w:rsid w:val="56B934B6"/>
    <w:rsid w:val="56C02A96"/>
    <w:rsid w:val="56E25787"/>
    <w:rsid w:val="571A1A7B"/>
    <w:rsid w:val="57203535"/>
    <w:rsid w:val="57250D6D"/>
    <w:rsid w:val="574C432A"/>
    <w:rsid w:val="574F3E1A"/>
    <w:rsid w:val="5785783C"/>
    <w:rsid w:val="57914645"/>
    <w:rsid w:val="57A745AF"/>
    <w:rsid w:val="57BC2B32"/>
    <w:rsid w:val="57C81A02"/>
    <w:rsid w:val="57CC0FC7"/>
    <w:rsid w:val="57D874E8"/>
    <w:rsid w:val="57E247B5"/>
    <w:rsid w:val="57E73E5A"/>
    <w:rsid w:val="57F16C7F"/>
    <w:rsid w:val="57FD18E5"/>
    <w:rsid w:val="580310C4"/>
    <w:rsid w:val="583936F8"/>
    <w:rsid w:val="58410A28"/>
    <w:rsid w:val="58445001"/>
    <w:rsid w:val="584D4CEE"/>
    <w:rsid w:val="586E02D0"/>
    <w:rsid w:val="587D49B7"/>
    <w:rsid w:val="58825B29"/>
    <w:rsid w:val="588B79BB"/>
    <w:rsid w:val="5894231E"/>
    <w:rsid w:val="58B2640F"/>
    <w:rsid w:val="58D04AE7"/>
    <w:rsid w:val="58E95BA9"/>
    <w:rsid w:val="590C29BD"/>
    <w:rsid w:val="590F3861"/>
    <w:rsid w:val="5914350F"/>
    <w:rsid w:val="59282B75"/>
    <w:rsid w:val="593432C8"/>
    <w:rsid w:val="59345322"/>
    <w:rsid w:val="59374B66"/>
    <w:rsid w:val="593B28A8"/>
    <w:rsid w:val="594A4899"/>
    <w:rsid w:val="59722042"/>
    <w:rsid w:val="59CC52AE"/>
    <w:rsid w:val="59CF1242"/>
    <w:rsid w:val="59DB733F"/>
    <w:rsid w:val="59E62B74"/>
    <w:rsid w:val="5A2371D3"/>
    <w:rsid w:val="5A663955"/>
    <w:rsid w:val="5AA13FDC"/>
    <w:rsid w:val="5AA153EC"/>
    <w:rsid w:val="5AAA4997"/>
    <w:rsid w:val="5AB02E22"/>
    <w:rsid w:val="5ACB7C5C"/>
    <w:rsid w:val="5ACE14FA"/>
    <w:rsid w:val="5AD05272"/>
    <w:rsid w:val="5ADF1011"/>
    <w:rsid w:val="5B162710"/>
    <w:rsid w:val="5B2E3177"/>
    <w:rsid w:val="5B305D11"/>
    <w:rsid w:val="5B3B20FE"/>
    <w:rsid w:val="5B44356A"/>
    <w:rsid w:val="5B5157BC"/>
    <w:rsid w:val="5B61290C"/>
    <w:rsid w:val="5B9C55E6"/>
    <w:rsid w:val="5BB666FF"/>
    <w:rsid w:val="5BC30933"/>
    <w:rsid w:val="5BE2700B"/>
    <w:rsid w:val="5C0827EA"/>
    <w:rsid w:val="5C090F7F"/>
    <w:rsid w:val="5C2003CB"/>
    <w:rsid w:val="5C433FD1"/>
    <w:rsid w:val="5C473312"/>
    <w:rsid w:val="5C4B1054"/>
    <w:rsid w:val="5C797243"/>
    <w:rsid w:val="5C7B2FBB"/>
    <w:rsid w:val="5CD64413"/>
    <w:rsid w:val="5CEE19DF"/>
    <w:rsid w:val="5D1F428F"/>
    <w:rsid w:val="5D2672E3"/>
    <w:rsid w:val="5D494E68"/>
    <w:rsid w:val="5D6B09E6"/>
    <w:rsid w:val="5D753EAF"/>
    <w:rsid w:val="5D7860C4"/>
    <w:rsid w:val="5D852344"/>
    <w:rsid w:val="5D89747D"/>
    <w:rsid w:val="5DA402F0"/>
    <w:rsid w:val="5DA56542"/>
    <w:rsid w:val="5DA65580"/>
    <w:rsid w:val="5DC42740"/>
    <w:rsid w:val="5DD76917"/>
    <w:rsid w:val="5DE3542F"/>
    <w:rsid w:val="5DF70D68"/>
    <w:rsid w:val="5E086AD1"/>
    <w:rsid w:val="5E0C251B"/>
    <w:rsid w:val="5E5329A6"/>
    <w:rsid w:val="5E5C7106"/>
    <w:rsid w:val="5E6E2DD8"/>
    <w:rsid w:val="5E7D2513"/>
    <w:rsid w:val="5E9071F2"/>
    <w:rsid w:val="5E9C7EA4"/>
    <w:rsid w:val="5EA66A16"/>
    <w:rsid w:val="5EEC6EF3"/>
    <w:rsid w:val="5EEE3F19"/>
    <w:rsid w:val="5F00458D"/>
    <w:rsid w:val="5F185882"/>
    <w:rsid w:val="5F2B61C4"/>
    <w:rsid w:val="5F2E6A0B"/>
    <w:rsid w:val="5F375FE1"/>
    <w:rsid w:val="5F412CC2"/>
    <w:rsid w:val="5F48187B"/>
    <w:rsid w:val="5F64242D"/>
    <w:rsid w:val="5F6D7376"/>
    <w:rsid w:val="5F70492E"/>
    <w:rsid w:val="5F8C7A0E"/>
    <w:rsid w:val="5FA8056B"/>
    <w:rsid w:val="5FC02589"/>
    <w:rsid w:val="5FC15189"/>
    <w:rsid w:val="5FD5203C"/>
    <w:rsid w:val="5FF27A39"/>
    <w:rsid w:val="60030250"/>
    <w:rsid w:val="60042255"/>
    <w:rsid w:val="60056797"/>
    <w:rsid w:val="600D6620"/>
    <w:rsid w:val="6017072B"/>
    <w:rsid w:val="60186131"/>
    <w:rsid w:val="60200102"/>
    <w:rsid w:val="602F0C95"/>
    <w:rsid w:val="60370A6F"/>
    <w:rsid w:val="603C0CB4"/>
    <w:rsid w:val="603D6F06"/>
    <w:rsid w:val="60561D75"/>
    <w:rsid w:val="608E7761"/>
    <w:rsid w:val="60917251"/>
    <w:rsid w:val="60B8681B"/>
    <w:rsid w:val="60BD1362"/>
    <w:rsid w:val="60CF1838"/>
    <w:rsid w:val="60D72F78"/>
    <w:rsid w:val="60E03D35"/>
    <w:rsid w:val="60E10B9B"/>
    <w:rsid w:val="610C68D8"/>
    <w:rsid w:val="6113099A"/>
    <w:rsid w:val="613876CD"/>
    <w:rsid w:val="614147D4"/>
    <w:rsid w:val="6142054C"/>
    <w:rsid w:val="61447E20"/>
    <w:rsid w:val="6151078F"/>
    <w:rsid w:val="616B35FF"/>
    <w:rsid w:val="617A7CE6"/>
    <w:rsid w:val="61860438"/>
    <w:rsid w:val="61923281"/>
    <w:rsid w:val="61963BFD"/>
    <w:rsid w:val="61A905CB"/>
    <w:rsid w:val="61C04220"/>
    <w:rsid w:val="61DA0784"/>
    <w:rsid w:val="61DB4C28"/>
    <w:rsid w:val="61E0223F"/>
    <w:rsid w:val="61ED495B"/>
    <w:rsid w:val="61EF2482"/>
    <w:rsid w:val="620A72BB"/>
    <w:rsid w:val="621023F8"/>
    <w:rsid w:val="6223586E"/>
    <w:rsid w:val="622A5268"/>
    <w:rsid w:val="622D6B06"/>
    <w:rsid w:val="62456545"/>
    <w:rsid w:val="62487DE4"/>
    <w:rsid w:val="62571DD5"/>
    <w:rsid w:val="626F56F8"/>
    <w:rsid w:val="626F6FA1"/>
    <w:rsid w:val="628A21AA"/>
    <w:rsid w:val="6291178B"/>
    <w:rsid w:val="62992D43"/>
    <w:rsid w:val="629C135C"/>
    <w:rsid w:val="62E23D94"/>
    <w:rsid w:val="62E55633"/>
    <w:rsid w:val="62E573E1"/>
    <w:rsid w:val="62EF200D"/>
    <w:rsid w:val="630C66E6"/>
    <w:rsid w:val="63196D81"/>
    <w:rsid w:val="632624E0"/>
    <w:rsid w:val="633345F0"/>
    <w:rsid w:val="633839B4"/>
    <w:rsid w:val="634C3167"/>
    <w:rsid w:val="63584057"/>
    <w:rsid w:val="63730E90"/>
    <w:rsid w:val="638C5AAE"/>
    <w:rsid w:val="63983E26"/>
    <w:rsid w:val="63B07D2A"/>
    <w:rsid w:val="63C4113C"/>
    <w:rsid w:val="63DB7766"/>
    <w:rsid w:val="63E36016"/>
    <w:rsid w:val="63E853DA"/>
    <w:rsid w:val="63F26259"/>
    <w:rsid w:val="63F45E84"/>
    <w:rsid w:val="63F566E8"/>
    <w:rsid w:val="64153CF6"/>
    <w:rsid w:val="645B2050"/>
    <w:rsid w:val="647E5D3F"/>
    <w:rsid w:val="6483310D"/>
    <w:rsid w:val="64923598"/>
    <w:rsid w:val="64B81251"/>
    <w:rsid w:val="64CD16CA"/>
    <w:rsid w:val="652E1513"/>
    <w:rsid w:val="6545060B"/>
    <w:rsid w:val="65474383"/>
    <w:rsid w:val="655D42EE"/>
    <w:rsid w:val="655F788C"/>
    <w:rsid w:val="656D441E"/>
    <w:rsid w:val="659A4DDA"/>
    <w:rsid w:val="659D4FF2"/>
    <w:rsid w:val="65D327C2"/>
    <w:rsid w:val="65D6294C"/>
    <w:rsid w:val="65E9368C"/>
    <w:rsid w:val="65FC33BF"/>
    <w:rsid w:val="66154481"/>
    <w:rsid w:val="662047A4"/>
    <w:rsid w:val="66377F53"/>
    <w:rsid w:val="667522A7"/>
    <w:rsid w:val="66855163"/>
    <w:rsid w:val="668F7D8F"/>
    <w:rsid w:val="6694184A"/>
    <w:rsid w:val="66CB2934"/>
    <w:rsid w:val="66EA1469"/>
    <w:rsid w:val="66EA2F94"/>
    <w:rsid w:val="66F2031E"/>
    <w:rsid w:val="66F4722E"/>
    <w:rsid w:val="66FE3E73"/>
    <w:rsid w:val="67010561"/>
    <w:rsid w:val="67050051"/>
    <w:rsid w:val="671D2CA5"/>
    <w:rsid w:val="674C3ED2"/>
    <w:rsid w:val="67760F4F"/>
    <w:rsid w:val="67786A75"/>
    <w:rsid w:val="67851192"/>
    <w:rsid w:val="678E44EB"/>
    <w:rsid w:val="67925A16"/>
    <w:rsid w:val="67A1421E"/>
    <w:rsid w:val="67D00D69"/>
    <w:rsid w:val="67DB0DB2"/>
    <w:rsid w:val="67DB7004"/>
    <w:rsid w:val="67DF7E32"/>
    <w:rsid w:val="67F325A0"/>
    <w:rsid w:val="68150768"/>
    <w:rsid w:val="68153AD4"/>
    <w:rsid w:val="683F2850"/>
    <w:rsid w:val="68437083"/>
    <w:rsid w:val="68580655"/>
    <w:rsid w:val="685E5C6B"/>
    <w:rsid w:val="685F3791"/>
    <w:rsid w:val="687920DA"/>
    <w:rsid w:val="689373F6"/>
    <w:rsid w:val="6897591E"/>
    <w:rsid w:val="68A0524E"/>
    <w:rsid w:val="68B04E09"/>
    <w:rsid w:val="68B7537B"/>
    <w:rsid w:val="68C31F72"/>
    <w:rsid w:val="68CB170E"/>
    <w:rsid w:val="68D83EA8"/>
    <w:rsid w:val="68E41346"/>
    <w:rsid w:val="68ED6FEF"/>
    <w:rsid w:val="69362744"/>
    <w:rsid w:val="69444779"/>
    <w:rsid w:val="69484FC3"/>
    <w:rsid w:val="695C4E3A"/>
    <w:rsid w:val="69603C65"/>
    <w:rsid w:val="69620A66"/>
    <w:rsid w:val="69971C43"/>
    <w:rsid w:val="69A00505"/>
    <w:rsid w:val="69B374AE"/>
    <w:rsid w:val="69DA0D02"/>
    <w:rsid w:val="69E057C4"/>
    <w:rsid w:val="69E31326"/>
    <w:rsid w:val="69F65A80"/>
    <w:rsid w:val="6A05378D"/>
    <w:rsid w:val="6A0F3105"/>
    <w:rsid w:val="6A1011E7"/>
    <w:rsid w:val="6A132A85"/>
    <w:rsid w:val="6A2465C5"/>
    <w:rsid w:val="6A2511C7"/>
    <w:rsid w:val="6A2B6021"/>
    <w:rsid w:val="6A4C5F97"/>
    <w:rsid w:val="6A541CB2"/>
    <w:rsid w:val="6A546BB7"/>
    <w:rsid w:val="6A591073"/>
    <w:rsid w:val="6A8939D1"/>
    <w:rsid w:val="6A9A4F55"/>
    <w:rsid w:val="6AC56475"/>
    <w:rsid w:val="6ADA35A3"/>
    <w:rsid w:val="6AE83309"/>
    <w:rsid w:val="6AEF52A0"/>
    <w:rsid w:val="6AFF61FD"/>
    <w:rsid w:val="6B056872"/>
    <w:rsid w:val="6B0A032C"/>
    <w:rsid w:val="6B347157"/>
    <w:rsid w:val="6B424D56"/>
    <w:rsid w:val="6B4E646B"/>
    <w:rsid w:val="6B5E4DF5"/>
    <w:rsid w:val="6B7A6EC8"/>
    <w:rsid w:val="6B7C2C80"/>
    <w:rsid w:val="6B910106"/>
    <w:rsid w:val="6B945E48"/>
    <w:rsid w:val="6B947BF6"/>
    <w:rsid w:val="6B9860BB"/>
    <w:rsid w:val="6BC32289"/>
    <w:rsid w:val="6BC908F1"/>
    <w:rsid w:val="6BD13A26"/>
    <w:rsid w:val="6BDF5315"/>
    <w:rsid w:val="6BE20961"/>
    <w:rsid w:val="6BEC358E"/>
    <w:rsid w:val="6C0134DD"/>
    <w:rsid w:val="6C4029E0"/>
    <w:rsid w:val="6C840560"/>
    <w:rsid w:val="6C841A18"/>
    <w:rsid w:val="6CD97FB6"/>
    <w:rsid w:val="6CDC3B07"/>
    <w:rsid w:val="6CE7542D"/>
    <w:rsid w:val="6CFF1222"/>
    <w:rsid w:val="6D087F43"/>
    <w:rsid w:val="6D0D22EB"/>
    <w:rsid w:val="6D0D3AB2"/>
    <w:rsid w:val="6D2A0812"/>
    <w:rsid w:val="6D4713C4"/>
    <w:rsid w:val="6D4D2752"/>
    <w:rsid w:val="6D4F64CA"/>
    <w:rsid w:val="6D7B106D"/>
    <w:rsid w:val="6DA93E2C"/>
    <w:rsid w:val="6DCC3677"/>
    <w:rsid w:val="6DDD3AD6"/>
    <w:rsid w:val="6DEF55B7"/>
    <w:rsid w:val="6E0224C6"/>
    <w:rsid w:val="6E2039C3"/>
    <w:rsid w:val="6E350AB4"/>
    <w:rsid w:val="6E3B6506"/>
    <w:rsid w:val="6E3F02ED"/>
    <w:rsid w:val="6E4753F3"/>
    <w:rsid w:val="6E481A15"/>
    <w:rsid w:val="6E4E22DE"/>
    <w:rsid w:val="6E5C40EC"/>
    <w:rsid w:val="6E7E6B5E"/>
    <w:rsid w:val="6E902A69"/>
    <w:rsid w:val="6EA75E92"/>
    <w:rsid w:val="6EB17119"/>
    <w:rsid w:val="6EF00A50"/>
    <w:rsid w:val="6EF600D6"/>
    <w:rsid w:val="6EFA06B8"/>
    <w:rsid w:val="6F037EBA"/>
    <w:rsid w:val="6F0926A9"/>
    <w:rsid w:val="6F196D90"/>
    <w:rsid w:val="6F2F0361"/>
    <w:rsid w:val="6F361DCC"/>
    <w:rsid w:val="6F5C0E0D"/>
    <w:rsid w:val="6F5F125D"/>
    <w:rsid w:val="6F6B6EC0"/>
    <w:rsid w:val="6F72024E"/>
    <w:rsid w:val="6F7E79B2"/>
    <w:rsid w:val="6F8A192D"/>
    <w:rsid w:val="6F8D33D1"/>
    <w:rsid w:val="6F974D1A"/>
    <w:rsid w:val="6FAA5C3A"/>
    <w:rsid w:val="6FAC3760"/>
    <w:rsid w:val="6FB940CF"/>
    <w:rsid w:val="6FCE7B7A"/>
    <w:rsid w:val="6FEC0DA5"/>
    <w:rsid w:val="6FF46EB5"/>
    <w:rsid w:val="700510C2"/>
    <w:rsid w:val="701560B1"/>
    <w:rsid w:val="70221C74"/>
    <w:rsid w:val="703B0F88"/>
    <w:rsid w:val="705B2440"/>
    <w:rsid w:val="706E310B"/>
    <w:rsid w:val="70771A75"/>
    <w:rsid w:val="707E5E39"/>
    <w:rsid w:val="70916390"/>
    <w:rsid w:val="709223F1"/>
    <w:rsid w:val="70A73F27"/>
    <w:rsid w:val="70B30B1E"/>
    <w:rsid w:val="70BC5C25"/>
    <w:rsid w:val="70C90342"/>
    <w:rsid w:val="70F33611"/>
    <w:rsid w:val="71237A52"/>
    <w:rsid w:val="712C0705"/>
    <w:rsid w:val="71325EE7"/>
    <w:rsid w:val="71353C29"/>
    <w:rsid w:val="7148395C"/>
    <w:rsid w:val="71520244"/>
    <w:rsid w:val="71557E27"/>
    <w:rsid w:val="71704C61"/>
    <w:rsid w:val="71775FF0"/>
    <w:rsid w:val="717E112C"/>
    <w:rsid w:val="719646C8"/>
    <w:rsid w:val="71B132B0"/>
    <w:rsid w:val="71B857DE"/>
    <w:rsid w:val="71C54FAD"/>
    <w:rsid w:val="71C64881"/>
    <w:rsid w:val="71C70D25"/>
    <w:rsid w:val="71CA25C3"/>
    <w:rsid w:val="71CC00E9"/>
    <w:rsid w:val="71DC2FB0"/>
    <w:rsid w:val="71F411AA"/>
    <w:rsid w:val="720F7FD6"/>
    <w:rsid w:val="721D26F3"/>
    <w:rsid w:val="721E638F"/>
    <w:rsid w:val="72565C05"/>
    <w:rsid w:val="7258372B"/>
    <w:rsid w:val="725A3947"/>
    <w:rsid w:val="72622941"/>
    <w:rsid w:val="727E3CE5"/>
    <w:rsid w:val="72834520"/>
    <w:rsid w:val="72923ABA"/>
    <w:rsid w:val="72964253"/>
    <w:rsid w:val="72F07E08"/>
    <w:rsid w:val="72F571CC"/>
    <w:rsid w:val="73025D8D"/>
    <w:rsid w:val="731735E6"/>
    <w:rsid w:val="733F2B3D"/>
    <w:rsid w:val="734F0FD2"/>
    <w:rsid w:val="735F4F8D"/>
    <w:rsid w:val="73843460"/>
    <w:rsid w:val="73964909"/>
    <w:rsid w:val="73A13DC2"/>
    <w:rsid w:val="73B059E4"/>
    <w:rsid w:val="73D42329"/>
    <w:rsid w:val="73DC038C"/>
    <w:rsid w:val="74017DF2"/>
    <w:rsid w:val="741B44E7"/>
    <w:rsid w:val="743930C6"/>
    <w:rsid w:val="74413F9A"/>
    <w:rsid w:val="74485A21"/>
    <w:rsid w:val="745D7787"/>
    <w:rsid w:val="7479207F"/>
    <w:rsid w:val="747B7BA5"/>
    <w:rsid w:val="747D1B6F"/>
    <w:rsid w:val="74860452"/>
    <w:rsid w:val="749E3893"/>
    <w:rsid w:val="74B62BF9"/>
    <w:rsid w:val="74C432FA"/>
    <w:rsid w:val="74D7688D"/>
    <w:rsid w:val="74DB6895"/>
    <w:rsid w:val="74E63744"/>
    <w:rsid w:val="74E7348C"/>
    <w:rsid w:val="74F160B9"/>
    <w:rsid w:val="74F31E31"/>
    <w:rsid w:val="7516167C"/>
    <w:rsid w:val="7544443B"/>
    <w:rsid w:val="75461F61"/>
    <w:rsid w:val="75575F1C"/>
    <w:rsid w:val="757C1E26"/>
    <w:rsid w:val="759E24FF"/>
    <w:rsid w:val="759E2EAC"/>
    <w:rsid w:val="75A82C1C"/>
    <w:rsid w:val="75AB270C"/>
    <w:rsid w:val="75F04612"/>
    <w:rsid w:val="761D53B8"/>
    <w:rsid w:val="7628378F"/>
    <w:rsid w:val="762F6E99"/>
    <w:rsid w:val="767931BC"/>
    <w:rsid w:val="767E572A"/>
    <w:rsid w:val="768947FB"/>
    <w:rsid w:val="76BB072D"/>
    <w:rsid w:val="76CA7CF5"/>
    <w:rsid w:val="76D530BC"/>
    <w:rsid w:val="76DA32A9"/>
    <w:rsid w:val="77295CF4"/>
    <w:rsid w:val="772A1104"/>
    <w:rsid w:val="77356731"/>
    <w:rsid w:val="773A5AF5"/>
    <w:rsid w:val="775267D1"/>
    <w:rsid w:val="775A46BB"/>
    <w:rsid w:val="777D1E86"/>
    <w:rsid w:val="77846CC1"/>
    <w:rsid w:val="77850D56"/>
    <w:rsid w:val="77865DC7"/>
    <w:rsid w:val="7787647F"/>
    <w:rsid w:val="77951959"/>
    <w:rsid w:val="779B40BB"/>
    <w:rsid w:val="77A222C0"/>
    <w:rsid w:val="77AE1A32"/>
    <w:rsid w:val="77B77146"/>
    <w:rsid w:val="77C147E4"/>
    <w:rsid w:val="77C3346D"/>
    <w:rsid w:val="77CC59BF"/>
    <w:rsid w:val="77D9530E"/>
    <w:rsid w:val="77E03ABC"/>
    <w:rsid w:val="77ED4572"/>
    <w:rsid w:val="77F0271C"/>
    <w:rsid w:val="77F13C27"/>
    <w:rsid w:val="77FC2DAB"/>
    <w:rsid w:val="77FE3626"/>
    <w:rsid w:val="78021921"/>
    <w:rsid w:val="781474DC"/>
    <w:rsid w:val="783405B6"/>
    <w:rsid w:val="78596290"/>
    <w:rsid w:val="7865373E"/>
    <w:rsid w:val="787B4617"/>
    <w:rsid w:val="789F2930"/>
    <w:rsid w:val="78A20CF7"/>
    <w:rsid w:val="78A771BA"/>
    <w:rsid w:val="78AF42C1"/>
    <w:rsid w:val="78B33DB1"/>
    <w:rsid w:val="78B82994"/>
    <w:rsid w:val="78CB6E51"/>
    <w:rsid w:val="78D37FAF"/>
    <w:rsid w:val="78D67AA0"/>
    <w:rsid w:val="78DB6E64"/>
    <w:rsid w:val="78E35D19"/>
    <w:rsid w:val="78E8005B"/>
    <w:rsid w:val="790C34C1"/>
    <w:rsid w:val="79157D17"/>
    <w:rsid w:val="79336CA0"/>
    <w:rsid w:val="793664EB"/>
    <w:rsid w:val="793D7B1F"/>
    <w:rsid w:val="794C1B10"/>
    <w:rsid w:val="795941FA"/>
    <w:rsid w:val="79627585"/>
    <w:rsid w:val="7970139F"/>
    <w:rsid w:val="79782905"/>
    <w:rsid w:val="79894B12"/>
    <w:rsid w:val="799F7E92"/>
    <w:rsid w:val="79A13C0A"/>
    <w:rsid w:val="79AC25AE"/>
    <w:rsid w:val="79C728E8"/>
    <w:rsid w:val="79CB0C87"/>
    <w:rsid w:val="79D044EF"/>
    <w:rsid w:val="79D52F41"/>
    <w:rsid w:val="79E053D0"/>
    <w:rsid w:val="7A057C51"/>
    <w:rsid w:val="7A077F60"/>
    <w:rsid w:val="7A081906"/>
    <w:rsid w:val="7A1563DC"/>
    <w:rsid w:val="7A173ECC"/>
    <w:rsid w:val="7A28432B"/>
    <w:rsid w:val="7A41363F"/>
    <w:rsid w:val="7A462A03"/>
    <w:rsid w:val="7A4F14D8"/>
    <w:rsid w:val="7A5F4654"/>
    <w:rsid w:val="7A613399"/>
    <w:rsid w:val="7A6A04A0"/>
    <w:rsid w:val="7A886B78"/>
    <w:rsid w:val="7A951295"/>
    <w:rsid w:val="7AFD7566"/>
    <w:rsid w:val="7B120C81"/>
    <w:rsid w:val="7B647D0C"/>
    <w:rsid w:val="7B7018CD"/>
    <w:rsid w:val="7B7610C6"/>
    <w:rsid w:val="7B8657AD"/>
    <w:rsid w:val="7BC93A16"/>
    <w:rsid w:val="7BD36518"/>
    <w:rsid w:val="7BDE7397"/>
    <w:rsid w:val="7BDF6C6B"/>
    <w:rsid w:val="7BE14791"/>
    <w:rsid w:val="7C393927"/>
    <w:rsid w:val="7C662EE9"/>
    <w:rsid w:val="7C77173A"/>
    <w:rsid w:val="7C8810B1"/>
    <w:rsid w:val="7C8C064A"/>
    <w:rsid w:val="7CA26617"/>
    <w:rsid w:val="7CAC6906"/>
    <w:rsid w:val="7CB618A1"/>
    <w:rsid w:val="7CBC0D5A"/>
    <w:rsid w:val="7CBD07BD"/>
    <w:rsid w:val="7CD267D0"/>
    <w:rsid w:val="7CD75B94"/>
    <w:rsid w:val="7CDB5685"/>
    <w:rsid w:val="7CEE5750"/>
    <w:rsid w:val="7CFE5817"/>
    <w:rsid w:val="7D0821F2"/>
    <w:rsid w:val="7D0A7D18"/>
    <w:rsid w:val="7D1416E7"/>
    <w:rsid w:val="7D1B3CD3"/>
    <w:rsid w:val="7D3E5C13"/>
    <w:rsid w:val="7D433342"/>
    <w:rsid w:val="7D5471E5"/>
    <w:rsid w:val="7D584F27"/>
    <w:rsid w:val="7D7D2BE0"/>
    <w:rsid w:val="7D7F64D0"/>
    <w:rsid w:val="7D853842"/>
    <w:rsid w:val="7DB01DFB"/>
    <w:rsid w:val="7DC205F3"/>
    <w:rsid w:val="7DC9372F"/>
    <w:rsid w:val="7DDC1842"/>
    <w:rsid w:val="7DE70059"/>
    <w:rsid w:val="7DEE7639"/>
    <w:rsid w:val="7DEF71FD"/>
    <w:rsid w:val="7DF804B8"/>
    <w:rsid w:val="7E022D25"/>
    <w:rsid w:val="7E0806FB"/>
    <w:rsid w:val="7E2550AC"/>
    <w:rsid w:val="7E327CEC"/>
    <w:rsid w:val="7E41269F"/>
    <w:rsid w:val="7E417769"/>
    <w:rsid w:val="7E503E50"/>
    <w:rsid w:val="7E576F8D"/>
    <w:rsid w:val="7E5D7C96"/>
    <w:rsid w:val="7E7044F2"/>
    <w:rsid w:val="7E943CC5"/>
    <w:rsid w:val="7EA83C8C"/>
    <w:rsid w:val="7EB85F52"/>
    <w:rsid w:val="7ED00AED"/>
    <w:rsid w:val="7EDE320A"/>
    <w:rsid w:val="7EE527EB"/>
    <w:rsid w:val="7EEC1DCB"/>
    <w:rsid w:val="7F0813B5"/>
    <w:rsid w:val="7F4A08A0"/>
    <w:rsid w:val="7F4C4618"/>
    <w:rsid w:val="7F4F235A"/>
    <w:rsid w:val="7F4F4108"/>
    <w:rsid w:val="7F5E4198"/>
    <w:rsid w:val="7F7923D3"/>
    <w:rsid w:val="7F897B53"/>
    <w:rsid w:val="7F9B0219"/>
    <w:rsid w:val="7F9D30C5"/>
    <w:rsid w:val="7FB85809"/>
    <w:rsid w:val="7FE62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2"/>
    <w:autoRedefine/>
    <w:qFormat/>
    <w:uiPriority w:val="0"/>
    <w:pPr>
      <w:keepNext/>
      <w:keepLines/>
      <w:spacing w:before="340" w:beforeLines="0" w:beforeAutospacing="0" w:after="330" w:afterLines="0" w:afterAutospacing="0" w:line="576" w:lineRule="auto"/>
      <w:jc w:val="center"/>
      <w:outlineLvl w:val="0"/>
    </w:pPr>
    <w:rPr>
      <w:rFonts w:eastAsia="宋体" w:asciiTheme="minorAscii" w:hAnsiTheme="minorAscii"/>
      <w:b/>
      <w:kern w:val="44"/>
      <w:sz w:val="36"/>
    </w:rPr>
  </w:style>
  <w:style w:type="paragraph" w:styleId="3">
    <w:name w:val="heading 2"/>
    <w:basedOn w:val="1"/>
    <w:next w:val="1"/>
    <w:qFormat/>
    <w:uiPriority w:val="9"/>
    <w:pPr>
      <w:keepNext/>
      <w:keepLines/>
      <w:spacing w:before="160" w:after="160" w:line="240" w:lineRule="atLeast"/>
      <w:ind w:left="851" w:hanging="284"/>
      <w:textAlignment w:val="baseline"/>
      <w:outlineLvl w:val="1"/>
    </w:pPr>
    <w:rPr>
      <w:rFonts w:ascii="黑体" w:hAnsi="Arial" w:eastAsia="黑体"/>
      <w:kern w:val="0"/>
      <w:sz w:val="28"/>
      <w:szCs w:val="28"/>
    </w:rPr>
  </w:style>
  <w:style w:type="paragraph" w:styleId="4">
    <w:name w:val="heading 3"/>
    <w:basedOn w:val="1"/>
    <w:next w:val="1"/>
    <w:autoRedefine/>
    <w:qFormat/>
    <w:uiPriority w:val="99"/>
    <w:pPr>
      <w:keepNext/>
      <w:spacing w:before="240" w:after="60"/>
      <w:outlineLvl w:val="2"/>
    </w:pPr>
    <w:rPr>
      <w:b/>
    </w:rPr>
  </w:style>
  <w:style w:type="paragraph" w:styleId="5">
    <w:name w:val="heading 4"/>
    <w:basedOn w:val="1"/>
    <w:next w:val="1"/>
    <w:autoRedefine/>
    <w:qFormat/>
    <w:uiPriority w:val="9"/>
    <w:pPr>
      <w:keepNext/>
      <w:keepLines/>
      <w:spacing w:before="200" w:line="276" w:lineRule="auto"/>
      <w:outlineLvl w:val="3"/>
    </w:pPr>
    <w:rPr>
      <w:rFonts w:ascii="Cambria" w:hAnsi="Cambria"/>
      <w:b/>
      <w:bCs/>
      <w:i/>
      <w:iCs/>
      <w:color w:val="4F81BD"/>
      <w:sz w:val="22"/>
      <w:szCs w:val="22"/>
      <w:lang w:eastAsia="en-US" w:bidi="en-US"/>
    </w:rPr>
  </w:style>
  <w:style w:type="character" w:default="1" w:styleId="25">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spacing w:after="200" w:line="276" w:lineRule="auto"/>
      <w:ind w:firstLine="420" w:firstLineChars="200"/>
    </w:pPr>
    <w:rPr>
      <w:rFonts w:ascii="宋体" w:hAnsi="Calibri" w:eastAsia="仿宋"/>
      <w:sz w:val="24"/>
      <w:szCs w:val="21"/>
    </w:rPr>
  </w:style>
  <w:style w:type="paragraph" w:styleId="7">
    <w:name w:val="annotation text"/>
    <w:basedOn w:val="1"/>
    <w:autoRedefine/>
    <w:qFormat/>
    <w:uiPriority w:val="0"/>
    <w:pPr>
      <w:jc w:val="left"/>
    </w:pPr>
  </w:style>
  <w:style w:type="paragraph" w:styleId="8">
    <w:name w:val="Body Text"/>
    <w:basedOn w:val="1"/>
    <w:autoRedefine/>
    <w:unhideWhenUsed/>
    <w:qFormat/>
    <w:uiPriority w:val="99"/>
    <w:pPr>
      <w:spacing w:after="120"/>
    </w:pPr>
  </w:style>
  <w:style w:type="paragraph" w:styleId="9">
    <w:name w:val="Body Text Indent"/>
    <w:basedOn w:val="1"/>
    <w:next w:val="10"/>
    <w:autoRedefine/>
    <w:qFormat/>
    <w:uiPriority w:val="0"/>
    <w:pPr>
      <w:spacing w:after="120" w:line="276" w:lineRule="auto"/>
      <w:ind w:left="420" w:leftChars="200"/>
    </w:pPr>
    <w:rPr>
      <w:rFonts w:ascii="宋体" w:hAnsi="Calibri" w:eastAsia="仿宋"/>
      <w:sz w:val="24"/>
      <w:szCs w:val="21"/>
    </w:rPr>
  </w:style>
  <w:style w:type="paragraph" w:styleId="10">
    <w:name w:val="envelope return"/>
    <w:basedOn w:val="1"/>
    <w:autoRedefine/>
    <w:semiHidden/>
    <w:qFormat/>
    <w:uiPriority w:val="0"/>
    <w:pPr>
      <w:snapToGrid w:val="0"/>
      <w:spacing w:after="200" w:line="276" w:lineRule="auto"/>
    </w:pPr>
    <w:rPr>
      <w:rFonts w:ascii="Arial" w:hAnsi="Arial" w:cs="Arial"/>
      <w:sz w:val="22"/>
      <w:szCs w:val="22"/>
      <w:lang w:eastAsia="en-US" w:bidi="en-US"/>
    </w:rPr>
  </w:style>
  <w:style w:type="paragraph" w:styleId="11">
    <w:name w:val="toc 3"/>
    <w:basedOn w:val="1"/>
    <w:next w:val="1"/>
    <w:qFormat/>
    <w:uiPriority w:val="0"/>
    <w:pPr>
      <w:ind w:left="840" w:leftChars="400"/>
    </w:pPr>
  </w:style>
  <w:style w:type="paragraph" w:styleId="12">
    <w:name w:val="Plain Text"/>
    <w:basedOn w:val="1"/>
    <w:autoRedefine/>
    <w:unhideWhenUsed/>
    <w:qFormat/>
    <w:uiPriority w:val="99"/>
    <w:rPr>
      <w:rFonts w:ascii="宋体" w:hAnsi="Courier New"/>
    </w:rPr>
  </w:style>
  <w:style w:type="paragraph" w:styleId="13">
    <w:name w:val="Date"/>
    <w:basedOn w:val="1"/>
    <w:next w:val="1"/>
    <w:qFormat/>
    <w:uiPriority w:val="0"/>
    <w:pPr>
      <w:ind w:left="2500" w:leftChars="2500"/>
    </w:pPr>
    <w:rPr>
      <w:rFonts w:ascii="宋体"/>
      <w:szCs w:val="20"/>
    </w:rPr>
  </w:style>
  <w:style w:type="paragraph" w:styleId="14">
    <w:name w:val="Body Text Indent 2"/>
    <w:basedOn w:val="1"/>
    <w:autoRedefine/>
    <w:qFormat/>
    <w:uiPriority w:val="0"/>
    <w:pPr>
      <w:spacing w:after="120" w:line="480" w:lineRule="auto"/>
      <w:ind w:left="420" w:leftChars="200"/>
    </w:pPr>
    <w:rPr>
      <w:rFonts w:ascii="宋体" w:hAnsi="Calibri" w:eastAsia="仿宋"/>
      <w:sz w:val="24"/>
      <w:szCs w:val="21"/>
    </w:rPr>
  </w:style>
  <w:style w:type="paragraph" w:styleId="15">
    <w:name w:val="footer"/>
    <w:basedOn w:val="1"/>
    <w:autoRedefine/>
    <w:semiHidden/>
    <w:unhideWhenUsed/>
    <w:qFormat/>
    <w:uiPriority w:val="99"/>
    <w:pPr>
      <w:tabs>
        <w:tab w:val="center" w:pos="4153"/>
        <w:tab w:val="right" w:pos="8306"/>
      </w:tabs>
      <w:snapToGrid w:val="0"/>
      <w:jc w:val="left"/>
    </w:pPr>
    <w:rPr>
      <w:sz w:val="18"/>
      <w:szCs w:val="18"/>
    </w:rPr>
  </w:style>
  <w:style w:type="paragraph" w:styleId="16">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0"/>
  </w:style>
  <w:style w:type="paragraph" w:styleId="18">
    <w:name w:val="toc 2"/>
    <w:basedOn w:val="1"/>
    <w:next w:val="1"/>
    <w:qFormat/>
    <w:uiPriority w:val="0"/>
    <w:pPr>
      <w:ind w:left="420" w:leftChars="200"/>
    </w:pPr>
  </w:style>
  <w:style w:type="paragraph" w:styleId="19">
    <w:name w:val="Message Header"/>
    <w:basedOn w:val="1"/>
    <w:autoRedefine/>
    <w:semiHidden/>
    <w:qFormat/>
    <w:uiPriority w:val="0"/>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pPr>
    <w:rPr>
      <w:rFonts w:ascii="Arial" w:hAnsi="Arial" w:cs="Arial"/>
      <w:sz w:val="22"/>
      <w:szCs w:val="24"/>
      <w:lang w:eastAsia="en-US" w:bidi="en-US"/>
    </w:rPr>
  </w:style>
  <w:style w:type="paragraph" w:styleId="20">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21">
    <w:name w:val="Body Text First Indent"/>
    <w:basedOn w:val="8"/>
    <w:autoRedefine/>
    <w:qFormat/>
    <w:uiPriority w:val="0"/>
    <w:pPr>
      <w:ind w:firstLine="420" w:firstLineChars="100"/>
    </w:pPr>
  </w:style>
  <w:style w:type="paragraph" w:styleId="22">
    <w:name w:val="Body Text First Indent 2"/>
    <w:basedOn w:val="9"/>
    <w:next w:val="1"/>
    <w:autoRedefine/>
    <w:qFormat/>
    <w:uiPriority w:val="0"/>
    <w:pPr>
      <w:ind w:firstLine="420" w:firstLineChars="2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0"/>
    <w:rPr>
      <w:b/>
      <w:bCs/>
    </w:rPr>
  </w:style>
  <w:style w:type="character" w:styleId="27">
    <w:name w:val="FollowedHyperlink"/>
    <w:basedOn w:val="25"/>
    <w:autoRedefine/>
    <w:qFormat/>
    <w:uiPriority w:val="0"/>
    <w:rPr>
      <w:color w:val="800080"/>
      <w:u w:val="none"/>
    </w:rPr>
  </w:style>
  <w:style w:type="character" w:styleId="28">
    <w:name w:val="Emphasis"/>
    <w:basedOn w:val="25"/>
    <w:autoRedefine/>
    <w:qFormat/>
    <w:uiPriority w:val="0"/>
    <w:rPr>
      <w:b/>
      <w:bCs/>
    </w:rPr>
  </w:style>
  <w:style w:type="character" w:styleId="29">
    <w:name w:val="HTML Definition"/>
    <w:basedOn w:val="25"/>
    <w:autoRedefine/>
    <w:qFormat/>
    <w:uiPriority w:val="0"/>
  </w:style>
  <w:style w:type="character" w:styleId="30">
    <w:name w:val="HTML Typewriter"/>
    <w:basedOn w:val="25"/>
    <w:autoRedefine/>
    <w:qFormat/>
    <w:uiPriority w:val="0"/>
    <w:rPr>
      <w:rFonts w:ascii="monospace" w:hAnsi="monospace" w:eastAsia="monospace" w:cs="monospace"/>
      <w:sz w:val="20"/>
    </w:rPr>
  </w:style>
  <w:style w:type="character" w:styleId="31">
    <w:name w:val="HTML Acronym"/>
    <w:basedOn w:val="25"/>
    <w:autoRedefine/>
    <w:qFormat/>
    <w:uiPriority w:val="0"/>
  </w:style>
  <w:style w:type="character" w:styleId="32">
    <w:name w:val="HTML Variable"/>
    <w:basedOn w:val="25"/>
    <w:autoRedefine/>
    <w:qFormat/>
    <w:uiPriority w:val="0"/>
  </w:style>
  <w:style w:type="character" w:styleId="33">
    <w:name w:val="Hyperlink"/>
    <w:basedOn w:val="25"/>
    <w:autoRedefine/>
    <w:qFormat/>
    <w:uiPriority w:val="0"/>
    <w:rPr>
      <w:color w:val="0000FF"/>
      <w:u w:val="none"/>
    </w:rPr>
  </w:style>
  <w:style w:type="character" w:styleId="34">
    <w:name w:val="HTML Code"/>
    <w:basedOn w:val="25"/>
    <w:autoRedefine/>
    <w:qFormat/>
    <w:uiPriority w:val="0"/>
    <w:rPr>
      <w:rFonts w:hint="default" w:ascii="monospace" w:hAnsi="monospace" w:eastAsia="monospace" w:cs="monospace"/>
      <w:sz w:val="20"/>
    </w:rPr>
  </w:style>
  <w:style w:type="character" w:styleId="35">
    <w:name w:val="HTML Cite"/>
    <w:basedOn w:val="25"/>
    <w:autoRedefine/>
    <w:qFormat/>
    <w:uiPriority w:val="0"/>
  </w:style>
  <w:style w:type="character" w:styleId="36">
    <w:name w:val="HTML Keyboard"/>
    <w:basedOn w:val="25"/>
    <w:autoRedefine/>
    <w:qFormat/>
    <w:uiPriority w:val="0"/>
    <w:rPr>
      <w:rFonts w:hint="default" w:ascii="monospace" w:hAnsi="monospace" w:eastAsia="monospace" w:cs="monospace"/>
      <w:sz w:val="20"/>
    </w:rPr>
  </w:style>
  <w:style w:type="character" w:styleId="37">
    <w:name w:val="HTML Sample"/>
    <w:basedOn w:val="25"/>
    <w:autoRedefine/>
    <w:qFormat/>
    <w:uiPriority w:val="0"/>
    <w:rPr>
      <w:rFonts w:hint="default" w:ascii="monospace" w:hAnsi="monospace" w:eastAsia="monospace" w:cs="monospace"/>
    </w:rPr>
  </w:style>
  <w:style w:type="paragraph" w:customStyle="1" w:styleId="38">
    <w:name w:val="Default"/>
    <w:next w:val="39"/>
    <w:autoRedefine/>
    <w:qFormat/>
    <w:uiPriority w:val="0"/>
    <w:pPr>
      <w:widowControl w:val="0"/>
      <w:autoSpaceDE w:val="0"/>
      <w:autoSpaceDN w:val="0"/>
      <w:adjustRightInd w:val="0"/>
      <w:spacing w:after="200" w:line="276" w:lineRule="auto"/>
    </w:pPr>
    <w:rPr>
      <w:rFonts w:ascii="宋体" w:hAnsi="Calibri" w:eastAsia="宋体" w:cs="宋体"/>
      <w:color w:val="000000"/>
      <w:sz w:val="24"/>
      <w:szCs w:val="24"/>
      <w:lang w:val="en-US" w:eastAsia="zh-CN" w:bidi="ar-SA"/>
    </w:rPr>
  </w:style>
  <w:style w:type="paragraph" w:customStyle="1" w:styleId="39">
    <w:name w:val="大标题"/>
    <w:basedOn w:val="1"/>
    <w:next w:val="22"/>
    <w:autoRedefine/>
    <w:qFormat/>
    <w:uiPriority w:val="0"/>
    <w:pPr>
      <w:pageBreakBefore/>
      <w:spacing w:after="200" w:line="720" w:lineRule="auto"/>
      <w:jc w:val="center"/>
      <w:outlineLvl w:val="0"/>
    </w:pPr>
    <w:rPr>
      <w:rFonts w:ascii="黑体" w:hAnsi="Calibri" w:eastAsia="黑体"/>
      <w:sz w:val="32"/>
      <w:szCs w:val="30"/>
      <w:lang w:eastAsia="en-US" w:bidi="en-US"/>
    </w:rPr>
  </w:style>
  <w:style w:type="paragraph" w:customStyle="1" w:styleId="40">
    <w:name w:val="p0"/>
    <w:basedOn w:val="1"/>
    <w:autoRedefine/>
    <w:qFormat/>
    <w:uiPriority w:val="0"/>
    <w:pPr>
      <w:widowControl/>
    </w:pPr>
    <w:rPr>
      <w:kern w:val="0"/>
      <w:szCs w:val="21"/>
    </w:rPr>
  </w:style>
  <w:style w:type="character" w:customStyle="1" w:styleId="41">
    <w:name w:val="html_txt1"/>
    <w:autoRedefine/>
    <w:qFormat/>
    <w:uiPriority w:val="0"/>
    <w:rPr>
      <w:color w:val="000000"/>
    </w:rPr>
  </w:style>
  <w:style w:type="character" w:customStyle="1" w:styleId="42">
    <w:name w:val="标题 1 Char"/>
    <w:link w:val="2"/>
    <w:autoRedefine/>
    <w:qFormat/>
    <w:uiPriority w:val="0"/>
    <w:rPr>
      <w:rFonts w:eastAsia="宋体" w:asciiTheme="minorAscii" w:hAnsiTheme="minorAscii"/>
      <w:b/>
      <w:kern w:val="44"/>
      <w:sz w:val="36"/>
    </w:rPr>
  </w:style>
  <w:style w:type="paragraph" w:customStyle="1" w:styleId="43">
    <w:name w:val="Table Paragraph"/>
    <w:basedOn w:val="1"/>
    <w:autoRedefine/>
    <w:qFormat/>
    <w:uiPriority w:val="1"/>
  </w:style>
  <w:style w:type="character" w:customStyle="1" w:styleId="44">
    <w:name w:val="hover"/>
    <w:basedOn w:val="25"/>
    <w:autoRedefine/>
    <w:qFormat/>
    <w:uiPriority w:val="0"/>
    <w:rPr>
      <w:color w:val="2590EB"/>
    </w:rPr>
  </w:style>
  <w:style w:type="character" w:customStyle="1" w:styleId="45">
    <w:name w:val="hover1"/>
    <w:basedOn w:val="25"/>
    <w:autoRedefine/>
    <w:qFormat/>
    <w:uiPriority w:val="0"/>
    <w:rPr>
      <w:color w:val="2590EB"/>
    </w:rPr>
  </w:style>
  <w:style w:type="character" w:customStyle="1" w:styleId="46">
    <w:name w:val="hover2"/>
    <w:basedOn w:val="25"/>
    <w:autoRedefine/>
    <w:qFormat/>
    <w:uiPriority w:val="0"/>
  </w:style>
  <w:style w:type="character" w:customStyle="1" w:styleId="47">
    <w:name w:val="mini-outputtext1"/>
    <w:basedOn w:val="25"/>
    <w:autoRedefine/>
    <w:qFormat/>
    <w:uiPriority w:val="0"/>
  </w:style>
  <w:style w:type="character" w:customStyle="1" w:styleId="48">
    <w:name w:val="hover3"/>
    <w:basedOn w:val="25"/>
    <w:autoRedefine/>
    <w:qFormat/>
    <w:uiPriority w:val="0"/>
  </w:style>
  <w:style w:type="paragraph" w:customStyle="1" w:styleId="49">
    <w:name w:val="报告正文"/>
    <w:basedOn w:val="1"/>
    <w:autoRedefine/>
    <w:qFormat/>
    <w:uiPriority w:val="0"/>
    <w:pPr>
      <w:adjustRightInd w:val="0"/>
      <w:ind w:firstLine="560" w:firstLineChars="200"/>
    </w:pPr>
    <w:rPr>
      <w:rFonts w:ascii="宋体" w:hAnsi="宋体"/>
    </w:rPr>
  </w:style>
  <w:style w:type="character" w:customStyle="1" w:styleId="50">
    <w:name w:val="first-child"/>
    <w:basedOn w:val="25"/>
    <w:autoRedefine/>
    <w:qFormat/>
    <w:uiPriority w:val="0"/>
  </w:style>
  <w:style w:type="character" w:customStyle="1" w:styleId="51">
    <w:name w:val="layui-layer-tabnow"/>
    <w:basedOn w:val="25"/>
    <w:autoRedefine/>
    <w:qFormat/>
    <w:uiPriority w:val="0"/>
    <w:rPr>
      <w:bdr w:val="single" w:color="CCCCCC" w:sz="6" w:space="0"/>
      <w:shd w:val="clear" w:fill="FFFFFF"/>
    </w:rPr>
  </w:style>
  <w:style w:type="paragraph" w:customStyle="1" w:styleId="52">
    <w:name w:val="列出段落1"/>
    <w:autoRedefine/>
    <w:qFormat/>
    <w:uiPriority w:val="34"/>
    <w:pPr>
      <w:ind w:firstLine="420" w:firstLineChars="200"/>
    </w:pPr>
    <w:rPr>
      <w:rFonts w:ascii="Times New Roman" w:hAnsi="Times New Roman" w:eastAsia="宋体" w:cs="Times New Roman"/>
      <w:lang w:val="en-US" w:eastAsia="zh-CN" w:bidi="ar-SA"/>
    </w:rPr>
  </w:style>
  <w:style w:type="paragraph" w:customStyle="1" w:styleId="53">
    <w:name w:val="cjk"/>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54">
    <w:name w:val="Style1"/>
    <w:autoRedefine/>
    <w:qFormat/>
    <w:uiPriority w:val="0"/>
    <w:pPr>
      <w:spacing w:after="120"/>
      <w:jc w:val="both"/>
    </w:pPr>
    <w:rPr>
      <w:rFonts w:ascii="Calibri" w:hAnsi="Calibri" w:eastAsia="Times New Roman" w:cs="Times New Roman"/>
      <w:color w:val="000000"/>
      <w:spacing w:val="-3"/>
      <w:sz w:val="24"/>
      <w:szCs w:val="24"/>
      <w:lang w:val="en-US" w:eastAsia="zh-CN" w:bidi="ar-SA"/>
    </w:rPr>
  </w:style>
  <w:style w:type="character" w:customStyle="1" w:styleId="55">
    <w:name w:val="标题4 Char"/>
    <w:link w:val="56"/>
    <w:autoRedefine/>
    <w:qFormat/>
    <w:uiPriority w:val="0"/>
    <w:rPr>
      <w:rFonts w:asciiTheme="minorHAnsi" w:hAnsiTheme="minorHAnsi" w:eastAsiaTheme="minorEastAsia" w:cstheme="minorBidi"/>
      <w:kern w:val="0"/>
      <w:sz w:val="28"/>
      <w:szCs w:val="20"/>
    </w:rPr>
  </w:style>
  <w:style w:type="paragraph" w:customStyle="1" w:styleId="56">
    <w:name w:val="标题4"/>
    <w:basedOn w:val="1"/>
    <w:next w:val="1"/>
    <w:link w:val="55"/>
    <w:autoRedefine/>
    <w:qFormat/>
    <w:uiPriority w:val="0"/>
    <w:pPr>
      <w:spacing w:line="360" w:lineRule="auto"/>
      <w:ind w:firstLine="105" w:firstLineChars="50"/>
      <w:jc w:val="left"/>
    </w:pPr>
    <w:rPr>
      <w:rFonts w:asciiTheme="minorHAnsi" w:hAnsiTheme="minorHAnsi" w:eastAsiaTheme="minorEastAsia" w:cstheme="minorBidi"/>
      <w:kern w:val="0"/>
      <w:sz w:val="28"/>
      <w:szCs w:val="20"/>
    </w:rPr>
  </w:style>
  <w:style w:type="paragraph" w:customStyle="1" w:styleId="57">
    <w:name w:val="正文_12_0"/>
    <w:qFormat/>
    <w:uiPriority w:val="0"/>
    <w:pPr>
      <w:widowControl w:val="0"/>
      <w:jc w:val="both"/>
    </w:pPr>
    <w:rPr>
      <w:rFonts w:ascii="Calibri" w:hAnsi="Calibri" w:eastAsia="宋体" w:cs="Times New Roman"/>
      <w:kern w:val="2"/>
      <w:sz w:val="21"/>
      <w:szCs w:val="22"/>
      <w:lang w:val="en-US" w:eastAsia="zh-CN" w:bidi="ar-SA"/>
    </w:rPr>
  </w:style>
  <w:style w:type="table" w:customStyle="1" w:styleId="58">
    <w:name w:val="Table Normal"/>
    <w:autoRedefine/>
    <w:semiHidden/>
    <w:unhideWhenUsed/>
    <w:qFormat/>
    <w:uiPriority w:val="0"/>
    <w:tblPr>
      <w:tblCellMar>
        <w:top w:w="0" w:type="dxa"/>
        <w:left w:w="0" w:type="dxa"/>
        <w:bottom w:w="0" w:type="dxa"/>
        <w:right w:w="0" w:type="dxa"/>
      </w:tblCellMar>
    </w:tblPr>
  </w:style>
  <w:style w:type="paragraph" w:customStyle="1" w:styleId="59">
    <w:name w:val="内容正文"/>
    <w:basedOn w:val="1"/>
    <w:qFormat/>
    <w:uiPriority w:val="0"/>
    <w:pPr>
      <w:spacing w:line="360" w:lineRule="auto"/>
      <w:ind w:firstLine="480" w:firstLineChars="200"/>
    </w:pPr>
    <w:rPr>
      <w:sz w:val="24"/>
      <w:szCs w:val="24"/>
    </w:rPr>
  </w:style>
  <w:style w:type="character" w:customStyle="1" w:styleId="60">
    <w:name w:val="font41"/>
    <w:basedOn w:val="25"/>
    <w:qFormat/>
    <w:uiPriority w:val="0"/>
    <w:rPr>
      <w:rFonts w:hint="default" w:ascii="MS Sans Serif" w:hAnsi="MS Sans Serif" w:eastAsia="MS Sans Serif" w:cs="MS Sans Serif"/>
      <w:color w:val="000000"/>
      <w:sz w:val="20"/>
      <w:szCs w:val="20"/>
      <w:u w:val="none"/>
    </w:rPr>
  </w:style>
  <w:style w:type="character" w:customStyle="1" w:styleId="61">
    <w:name w:val="font61"/>
    <w:basedOn w:val="25"/>
    <w:qFormat/>
    <w:uiPriority w:val="0"/>
    <w:rPr>
      <w:rFonts w:hint="eastAsia" w:ascii="宋体" w:hAnsi="宋体" w:eastAsia="宋体" w:cs="宋体"/>
      <w:color w:val="000000"/>
      <w:sz w:val="20"/>
      <w:szCs w:val="20"/>
      <w:u w:val="none"/>
    </w:rPr>
  </w:style>
  <w:style w:type="character" w:customStyle="1" w:styleId="62">
    <w:name w:val="font01"/>
    <w:basedOn w:val="25"/>
    <w:qFormat/>
    <w:uiPriority w:val="0"/>
    <w:rPr>
      <w:rFonts w:hint="eastAsia" w:ascii="宋体" w:hAnsi="宋体" w:eastAsia="宋体" w:cs="宋体"/>
      <w:color w:val="000000"/>
      <w:sz w:val="22"/>
      <w:szCs w:val="22"/>
      <w:u w:val="none"/>
    </w:rPr>
  </w:style>
  <w:style w:type="character" w:customStyle="1" w:styleId="63">
    <w:name w:val="font91"/>
    <w:basedOn w:val="25"/>
    <w:qFormat/>
    <w:uiPriority w:val="0"/>
    <w:rPr>
      <w:rFonts w:ascii="Arial" w:hAnsi="Arial" w:cs="Arial"/>
      <w:color w:val="000000"/>
      <w:sz w:val="22"/>
      <w:szCs w:val="22"/>
      <w:u w:val="none"/>
    </w:rPr>
  </w:style>
  <w:style w:type="paragraph" w:customStyle="1" w:styleId="64">
    <w:name w:val="WPSOffice手动目录 1"/>
    <w:qFormat/>
    <w:uiPriority w:val="0"/>
    <w:pPr>
      <w:ind w:leftChars="0"/>
    </w:pPr>
    <w:rPr>
      <w:rFonts w:ascii="Times New Roman" w:hAnsi="Times New Roman" w:eastAsia="宋体" w:cs="Times New Roman"/>
      <w:sz w:val="20"/>
      <w:szCs w:val="20"/>
    </w:rPr>
  </w:style>
  <w:style w:type="paragraph" w:customStyle="1" w:styleId="65">
    <w:name w:val="文档正文"/>
    <w:basedOn w:val="1"/>
    <w:qFormat/>
    <w:uiPriority w:val="0"/>
    <w:pPr>
      <w:spacing w:line="480" w:lineRule="atLeast"/>
      <w:ind w:firstLine="567"/>
      <w:textAlignment w:val="baseline"/>
    </w:pPr>
    <w:rPr>
      <w:rFonts w:ascii="仿宋_GB2312" w:hAnsi="仿宋_GB2312" w:cs="宋体"/>
      <w:sz w:val="28"/>
      <w:szCs w:val="28"/>
    </w:rPr>
  </w:style>
  <w:style w:type="paragraph" w:customStyle="1" w:styleId="66">
    <w:name w:val="a0"/>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67">
    <w:name w:val="font101"/>
    <w:basedOn w:val="25"/>
    <w:qFormat/>
    <w:uiPriority w:val="0"/>
    <w:rPr>
      <w:rFonts w:hint="eastAsia" w:ascii="仿宋" w:hAnsi="仿宋" w:eastAsia="仿宋" w:cs="仿宋"/>
      <w:color w:val="FF0000"/>
      <w:sz w:val="22"/>
      <w:szCs w:val="22"/>
      <w:u w:val="none"/>
    </w:rPr>
  </w:style>
  <w:style w:type="character" w:customStyle="1" w:styleId="68">
    <w:name w:val="font161"/>
    <w:basedOn w:val="2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13551</Words>
  <Characters>14887</Characters>
  <Lines>0</Lines>
  <Paragraphs>0</Paragraphs>
  <TotalTime>18</TotalTime>
  <ScaleCrop>false</ScaleCrop>
  <LinksUpToDate>false</LinksUpToDate>
  <CharactersWithSpaces>15059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2021-11-06T01:40:00Z</dcterms:created>
  <dc:creator>杨欢</dc:creator>
  <cp:lastModifiedBy>Administrator</cp:lastModifiedBy>
  <cp:lastPrinted>2025-07-11T01:52:00Z</cp:lastPrinted>
  <dcterms:modified xsi:type="dcterms:W3CDTF">2025-09-04T09:45:20Z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2D789CC161FB470682B5D274A7EDD718_13</vt:lpwstr>
  </property>
  <property fmtid="{D5CDD505-2E9C-101B-9397-08002B2CF9AE}" pid="4" name="KSOTemplateDocerSaveRecord">
    <vt:lpwstr>eyJoZGlkIjoiZWFjNzg3Nzc3ZjBmMTUzNjlhMDUxOWM0OTVkMmZhZWEiLCJ1c2VySWQiOiI0MjA1Nzg2NTEifQ==</vt:lpwstr>
  </property>
</Properties>
</file>